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3851" w14:textId="7FB3420B" w:rsidR="000878FA" w:rsidRPr="00EA005F" w:rsidRDefault="000878FA" w:rsidP="00EA005F">
      <w:pPr>
        <w:jc w:val="both"/>
        <w:rPr>
          <w:rFonts w:cstheme="minorHAnsi"/>
          <w:lang w:val="en-US"/>
        </w:rPr>
      </w:pPr>
    </w:p>
    <w:p w14:paraId="3FACB828" w14:textId="41E221F3" w:rsidR="00EA005F" w:rsidRPr="00EA005F" w:rsidRDefault="00EA005F" w:rsidP="00EA005F">
      <w:pPr>
        <w:pStyle w:val="Heading3"/>
        <w:spacing w:before="0"/>
        <w:jc w:val="center"/>
        <w:rPr>
          <w:rFonts w:asciiTheme="minorHAnsi" w:hAnsiTheme="minorHAnsi" w:cstheme="minorHAnsi"/>
          <w:color w:val="005067"/>
          <w:sz w:val="48"/>
          <w:szCs w:val="48"/>
        </w:rPr>
      </w:pPr>
      <w:r w:rsidRPr="00EA005F">
        <w:rPr>
          <w:rStyle w:val="Heading1Char"/>
          <w:rFonts w:asciiTheme="minorHAnsi" w:hAnsiTheme="minorHAnsi" w:cstheme="minorHAnsi"/>
          <w:color w:val="005067"/>
          <w:sz w:val="48"/>
          <w:szCs w:val="48"/>
        </w:rPr>
        <w:t xml:space="preserve">What lockdown support is available in the </w:t>
      </w:r>
      <w:proofErr w:type="gramStart"/>
      <w:r w:rsidRPr="00EA005F">
        <w:rPr>
          <w:rStyle w:val="Heading1Char"/>
          <w:rFonts w:asciiTheme="minorHAnsi" w:hAnsiTheme="minorHAnsi" w:cstheme="minorHAnsi"/>
          <w:color w:val="005067"/>
          <w:sz w:val="48"/>
          <w:szCs w:val="48"/>
        </w:rPr>
        <w:t>AC</w:t>
      </w:r>
      <w:r w:rsidRPr="00EA005F">
        <w:rPr>
          <w:rStyle w:val="Heading1Char"/>
          <w:rFonts w:asciiTheme="minorHAnsi" w:hAnsiTheme="minorHAnsi" w:cstheme="minorHAnsi"/>
          <w:color w:val="005067"/>
          <w:sz w:val="48"/>
          <w:szCs w:val="48"/>
        </w:rPr>
        <w:t>T ?</w:t>
      </w:r>
      <w:proofErr w:type="gramEnd"/>
    </w:p>
    <w:p w14:paraId="178A6D18" w14:textId="77777777" w:rsidR="00EA005F" w:rsidRDefault="00EA005F" w:rsidP="00EA005F">
      <w:pPr>
        <w:jc w:val="both"/>
        <w:rPr>
          <w:rFonts w:eastAsiaTheme="majorEastAsia" w:cstheme="minorHAnsi"/>
          <w:b/>
          <w:color w:val="000000" w:themeColor="text1"/>
          <w:sz w:val="28"/>
        </w:rPr>
      </w:pPr>
    </w:p>
    <w:p w14:paraId="6021B22B" w14:textId="153B4AED" w:rsidR="00EA005F" w:rsidRPr="00EA005F" w:rsidRDefault="00EA005F" w:rsidP="00EA005F">
      <w:pPr>
        <w:jc w:val="both"/>
        <w:rPr>
          <w:rFonts w:eastAsiaTheme="majorEastAsia" w:cstheme="minorHAnsi"/>
          <w:b/>
          <w:color w:val="005067"/>
          <w:sz w:val="12"/>
          <w:szCs w:val="12"/>
        </w:rPr>
      </w:pPr>
      <w:r w:rsidRPr="00EA005F">
        <w:rPr>
          <w:rFonts w:eastAsiaTheme="majorEastAsia" w:cstheme="minorHAnsi"/>
          <w:b/>
          <w:color w:val="005067"/>
          <w:sz w:val="28"/>
        </w:rPr>
        <w:t xml:space="preserve">Support is available </w:t>
      </w:r>
      <w:r>
        <w:rPr>
          <w:rFonts w:eastAsiaTheme="majorEastAsia" w:cstheme="minorHAnsi"/>
          <w:b/>
          <w:color w:val="005067"/>
          <w:sz w:val="28"/>
        </w:rPr>
        <w:t>if</w:t>
      </w:r>
      <w:r w:rsidRPr="00EA005F">
        <w:rPr>
          <w:rFonts w:eastAsiaTheme="majorEastAsia" w:cstheme="minorHAnsi"/>
          <w:b/>
          <w:color w:val="005067"/>
          <w:sz w:val="28"/>
        </w:rPr>
        <w:t xml:space="preserve"> your business is impacted by the ACT lockdowns.</w:t>
      </w:r>
    </w:p>
    <w:p w14:paraId="07BCFB15" w14:textId="77777777" w:rsidR="00EA005F" w:rsidRPr="00EA005F" w:rsidRDefault="00EA005F" w:rsidP="00EA005F">
      <w:pPr>
        <w:jc w:val="both"/>
        <w:rPr>
          <w:rFonts w:cstheme="minorHAnsi"/>
          <w:sz w:val="12"/>
          <w:szCs w:val="12"/>
        </w:rPr>
      </w:pPr>
    </w:p>
    <w:p w14:paraId="77F917D6" w14:textId="1EB62A96" w:rsid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If your business is impacted by the lockdowns across the ACT, support is available through grants, </w:t>
      </w:r>
      <w:proofErr w:type="gramStart"/>
      <w:r w:rsidRPr="00EA005F">
        <w:rPr>
          <w:rFonts w:cstheme="minorHAnsi"/>
        </w:rPr>
        <w:t>rebates</w:t>
      </w:r>
      <w:proofErr w:type="gramEnd"/>
      <w:r w:rsidRPr="00EA005F">
        <w:rPr>
          <w:rFonts w:cstheme="minorHAnsi"/>
        </w:rPr>
        <w:t xml:space="preserve"> and waivers.  </w:t>
      </w:r>
    </w:p>
    <w:p w14:paraId="4D8C70B7" w14:textId="77777777" w:rsidR="00EA005F" w:rsidRPr="00EA005F" w:rsidRDefault="00EA005F" w:rsidP="00EA005F">
      <w:pPr>
        <w:jc w:val="both"/>
        <w:rPr>
          <w:rFonts w:cstheme="minorHAnsi"/>
        </w:rPr>
      </w:pPr>
    </w:p>
    <w:p w14:paraId="2A146A53" w14:textId="1FCD0D7A" w:rsidR="00EA005F" w:rsidRDefault="00EA005F" w:rsidP="00EA005F">
      <w:pPr>
        <w:pStyle w:val="Heading2"/>
        <w:jc w:val="both"/>
        <w:rPr>
          <w:rFonts w:asciiTheme="minorHAnsi" w:hAnsiTheme="minorHAnsi" w:cstheme="minorHAnsi"/>
          <w:color w:val="005067"/>
        </w:rPr>
      </w:pPr>
      <w:bookmarkStart w:id="0" w:name="_Toc79935919"/>
      <w:bookmarkStart w:id="1" w:name="_Toc79993816"/>
      <w:r w:rsidRPr="00EA005F">
        <w:rPr>
          <w:rFonts w:asciiTheme="minorHAnsi" w:hAnsiTheme="minorHAnsi" w:cstheme="minorHAnsi"/>
          <w:color w:val="005067"/>
        </w:rPr>
        <w:t>ACT COVID</w:t>
      </w:r>
      <w:r w:rsidRPr="00EA005F">
        <w:rPr>
          <w:rFonts w:ascii="Cambria Math" w:hAnsi="Cambria Math" w:cs="Cambria Math"/>
          <w:color w:val="005067"/>
        </w:rPr>
        <w:t>‑</w:t>
      </w:r>
      <w:r w:rsidRPr="00EA005F">
        <w:rPr>
          <w:rFonts w:asciiTheme="minorHAnsi" w:hAnsiTheme="minorHAnsi" w:cstheme="minorHAnsi"/>
          <w:color w:val="005067"/>
        </w:rPr>
        <w:t>19 Business Support Grants</w:t>
      </w:r>
      <w:bookmarkEnd w:id="0"/>
      <w:bookmarkEnd w:id="1"/>
    </w:p>
    <w:p w14:paraId="188AB180" w14:textId="77777777" w:rsidR="00EA005F" w:rsidRPr="00EA005F" w:rsidRDefault="00EA005F" w:rsidP="00EA005F"/>
    <w:p w14:paraId="6C3FB61C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The </w:t>
      </w:r>
      <w:hyperlink r:id="rId8" w:history="1">
        <w:r w:rsidRPr="00EA005F">
          <w:rPr>
            <w:rStyle w:val="Hyperlink"/>
            <w:rFonts w:cstheme="minorHAnsi"/>
            <w:sz w:val="21"/>
          </w:rPr>
          <w:t>ACT COVID</w:t>
        </w:r>
        <w:r w:rsidRPr="00EA005F">
          <w:rPr>
            <w:rStyle w:val="Hyperlink"/>
            <w:rFonts w:ascii="Cambria Math" w:hAnsi="Cambria Math" w:cs="Cambria Math"/>
            <w:sz w:val="21"/>
          </w:rPr>
          <w:t>‑</w:t>
        </w:r>
        <w:r w:rsidRPr="00EA005F">
          <w:rPr>
            <w:rStyle w:val="Hyperlink"/>
            <w:rFonts w:cstheme="minorHAnsi"/>
            <w:sz w:val="21"/>
          </w:rPr>
          <w:t>19 Business Support Grant</w:t>
        </w:r>
      </w:hyperlink>
      <w:r w:rsidRPr="00EA005F">
        <w:rPr>
          <w:rFonts w:cstheme="minorHAnsi"/>
        </w:rPr>
        <w:t xml:space="preserve"> provides up to $10,000 for employing businesses and up to $4,000 for non-employing businesses that have experienced a decline of 30% or more as a result of the COVID</w:t>
      </w:r>
      <w:r w:rsidRPr="00EA005F">
        <w:rPr>
          <w:rFonts w:ascii="Cambria Math" w:hAnsi="Cambria Math" w:cs="Cambria Math"/>
        </w:rPr>
        <w:t>‑</w:t>
      </w:r>
      <w:r w:rsidRPr="00EA005F">
        <w:rPr>
          <w:rFonts w:cstheme="minorHAnsi"/>
        </w:rPr>
        <w:t>19 health restrictions.</w:t>
      </w:r>
    </w:p>
    <w:p w14:paraId="633A46B5" w14:textId="77777777" w:rsidR="00EA005F" w:rsidRPr="00EA005F" w:rsidRDefault="00EA005F" w:rsidP="00EA005F">
      <w:pPr>
        <w:pStyle w:val="Heading3"/>
        <w:jc w:val="both"/>
        <w:rPr>
          <w:rFonts w:asciiTheme="minorHAnsi" w:hAnsiTheme="minorHAnsi" w:cstheme="minorHAnsi"/>
          <w:color w:val="005067"/>
        </w:rPr>
      </w:pPr>
      <w:bookmarkStart w:id="2" w:name="_Toc79993817"/>
      <w:r w:rsidRPr="00EA005F">
        <w:rPr>
          <w:rFonts w:asciiTheme="minorHAnsi" w:hAnsiTheme="minorHAnsi" w:cstheme="minorHAnsi"/>
          <w:color w:val="005067"/>
        </w:rPr>
        <w:t>Eligibility</w:t>
      </w:r>
      <w:bookmarkEnd w:id="2"/>
    </w:p>
    <w:p w14:paraId="4DB77561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The full eligibility details have not been released </w:t>
      </w:r>
      <w:proofErr w:type="gramStart"/>
      <w:r w:rsidRPr="00EA005F">
        <w:rPr>
          <w:rFonts w:cstheme="minorHAnsi"/>
        </w:rPr>
        <w:t>as yet</w:t>
      </w:r>
      <w:proofErr w:type="gramEnd"/>
      <w:r w:rsidRPr="00EA005F">
        <w:rPr>
          <w:rFonts w:cstheme="minorHAnsi"/>
        </w:rPr>
        <w:t xml:space="preserve"> but will include the need to:</w:t>
      </w:r>
    </w:p>
    <w:p w14:paraId="121EEC19" w14:textId="77777777" w:rsidR="00EA005F" w:rsidRPr="00EA005F" w:rsidRDefault="00EA005F" w:rsidP="00EA005F">
      <w:pPr>
        <w:jc w:val="both"/>
        <w:rPr>
          <w:rFonts w:cstheme="minorHAnsi"/>
        </w:rPr>
      </w:pPr>
    </w:p>
    <w:p w14:paraId="47543719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 xml:space="preserve">Have an active ABN; and </w:t>
      </w:r>
    </w:p>
    <w:p w14:paraId="04D2A6E2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 xml:space="preserve">Demonstrate that your business was operating in the ACT as </w:t>
      </w:r>
      <w:proofErr w:type="gramStart"/>
      <w:r w:rsidRPr="00EA005F">
        <w:rPr>
          <w:rFonts w:asciiTheme="minorHAnsi" w:hAnsiTheme="minorHAnsi" w:cstheme="minorHAnsi"/>
          <w:lang w:val="en-GB"/>
        </w:rPr>
        <w:t>at</w:t>
      </w:r>
      <w:proofErr w:type="gramEnd"/>
      <w:r w:rsidRPr="00EA005F">
        <w:rPr>
          <w:rFonts w:asciiTheme="minorHAnsi" w:hAnsiTheme="minorHAnsi" w:cstheme="minorHAnsi"/>
          <w:lang w:val="en-GB"/>
        </w:rPr>
        <w:t xml:space="preserve"> 1 April 2021; and</w:t>
      </w:r>
    </w:p>
    <w:p w14:paraId="2058D5B0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>Have an annual turnover of more than $75,000; and</w:t>
      </w:r>
    </w:p>
    <w:p w14:paraId="0B0A9383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>Be registered for GST before 1 April 2021; and</w:t>
      </w:r>
    </w:p>
    <w:p w14:paraId="2FC9C283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>Have total Australian payroll of less than $10 million; and</w:t>
      </w:r>
    </w:p>
    <w:p w14:paraId="6A37DEB9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 xml:space="preserve">Have experienced a decline in turnover of at least 30% or more in the week from Friday 13 August to Friday 20 August 2021 compared to the prior </w:t>
      </w:r>
      <w:proofErr w:type="gramStart"/>
      <w:r w:rsidRPr="00EA005F">
        <w:rPr>
          <w:rFonts w:asciiTheme="minorHAnsi" w:hAnsiTheme="minorHAnsi" w:cstheme="minorHAnsi"/>
          <w:lang w:val="en-GB"/>
        </w:rPr>
        <w:t>7 day</w:t>
      </w:r>
      <w:proofErr w:type="gramEnd"/>
      <w:r w:rsidRPr="00EA005F">
        <w:rPr>
          <w:rFonts w:asciiTheme="minorHAnsi" w:hAnsiTheme="minorHAnsi" w:cstheme="minorHAnsi"/>
          <w:lang w:val="en-GB"/>
        </w:rPr>
        <w:t xml:space="preserve"> period.</w:t>
      </w:r>
    </w:p>
    <w:p w14:paraId="7C6855D1" w14:textId="77777777" w:rsidR="00EA005F" w:rsidRPr="00EA005F" w:rsidRDefault="00EA005F" w:rsidP="00EA005F">
      <w:pPr>
        <w:jc w:val="both"/>
        <w:rPr>
          <w:rFonts w:cstheme="minorHAnsi"/>
        </w:rPr>
      </w:pPr>
    </w:p>
    <w:p w14:paraId="49B1215F" w14:textId="4E7FA1A1" w:rsid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Applications have not opened for this grant </w:t>
      </w:r>
      <w:proofErr w:type="gramStart"/>
      <w:r w:rsidRPr="00EA005F">
        <w:rPr>
          <w:rFonts w:cstheme="minorHAnsi"/>
        </w:rPr>
        <w:t>as yet</w:t>
      </w:r>
      <w:proofErr w:type="gramEnd"/>
      <w:r w:rsidRPr="00EA005F">
        <w:rPr>
          <w:rFonts w:cstheme="minorHAnsi"/>
        </w:rPr>
        <w:t xml:space="preserve">. You can express your interest </w:t>
      </w:r>
      <w:hyperlink r:id="rId9" w:history="1">
        <w:r w:rsidRPr="00EA005F">
          <w:rPr>
            <w:rStyle w:val="Hyperlink"/>
            <w:rFonts w:cstheme="minorHAnsi"/>
            <w:sz w:val="21"/>
          </w:rPr>
          <w:t>here</w:t>
        </w:r>
      </w:hyperlink>
      <w:r w:rsidRPr="00EA005F">
        <w:rPr>
          <w:rFonts w:cstheme="minorHAnsi"/>
        </w:rPr>
        <w:t>.</w:t>
      </w:r>
    </w:p>
    <w:p w14:paraId="11688C3C" w14:textId="77777777" w:rsidR="00EA005F" w:rsidRPr="00EA005F" w:rsidRDefault="00EA005F" w:rsidP="00EA005F">
      <w:pPr>
        <w:jc w:val="both"/>
        <w:rPr>
          <w:rFonts w:cstheme="minorHAnsi"/>
        </w:rPr>
      </w:pPr>
    </w:p>
    <w:p w14:paraId="2B5A0976" w14:textId="1BC84D79" w:rsidR="00EA005F" w:rsidRDefault="00EA005F" w:rsidP="00EA005F">
      <w:pPr>
        <w:pStyle w:val="Heading2"/>
        <w:jc w:val="both"/>
        <w:rPr>
          <w:rFonts w:asciiTheme="minorHAnsi" w:hAnsiTheme="minorHAnsi" w:cstheme="minorHAnsi"/>
          <w:color w:val="005067"/>
        </w:rPr>
      </w:pPr>
      <w:bookmarkStart w:id="3" w:name="_Toc79935920"/>
      <w:bookmarkStart w:id="4" w:name="_Toc79993818"/>
      <w:r w:rsidRPr="00EA005F">
        <w:rPr>
          <w:rFonts w:asciiTheme="minorHAnsi" w:hAnsiTheme="minorHAnsi" w:cstheme="minorHAnsi"/>
          <w:color w:val="005067"/>
        </w:rPr>
        <w:t>COVID</w:t>
      </w:r>
      <w:r w:rsidRPr="00EA005F">
        <w:rPr>
          <w:rFonts w:ascii="Cambria Math" w:hAnsi="Cambria Math" w:cs="Cambria Math"/>
          <w:color w:val="005067"/>
        </w:rPr>
        <w:t>‑</w:t>
      </w:r>
      <w:r w:rsidRPr="00EA005F">
        <w:rPr>
          <w:rFonts w:asciiTheme="minorHAnsi" w:hAnsiTheme="minorHAnsi" w:cstheme="minorHAnsi"/>
          <w:color w:val="005067"/>
        </w:rPr>
        <w:t>19 Small Business Hardship Scheme</w:t>
      </w:r>
      <w:bookmarkEnd w:id="3"/>
      <w:bookmarkEnd w:id="4"/>
    </w:p>
    <w:p w14:paraId="6E50E9DB" w14:textId="77777777" w:rsidR="00EA005F" w:rsidRPr="00EA005F" w:rsidRDefault="00EA005F" w:rsidP="00EA005F"/>
    <w:p w14:paraId="3829C670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Eligible ACT businesses can apply for credits on the cost of eligible fees and charges of up to $10,000 (inclusive of GST) per ABN against payroll tax, utilities, rates and a range of business licence fees and charges. </w:t>
      </w:r>
    </w:p>
    <w:p w14:paraId="35AE96F9" w14:textId="77777777" w:rsidR="00EA005F" w:rsidRPr="00EA005F" w:rsidRDefault="00EA005F" w:rsidP="00EA005F">
      <w:pPr>
        <w:jc w:val="both"/>
        <w:rPr>
          <w:rFonts w:cstheme="minorHAnsi"/>
        </w:rPr>
      </w:pPr>
    </w:p>
    <w:p w14:paraId="05E29199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>The scheme is available to small businesses with a turnover between $30,000 and $10 million per annum.</w:t>
      </w:r>
    </w:p>
    <w:p w14:paraId="5FF84477" w14:textId="77777777" w:rsidR="00EA005F" w:rsidRPr="00EA005F" w:rsidRDefault="00EA005F" w:rsidP="00EA005F">
      <w:pPr>
        <w:jc w:val="both"/>
        <w:rPr>
          <w:rFonts w:cstheme="minorHAnsi"/>
        </w:rPr>
      </w:pPr>
    </w:p>
    <w:p w14:paraId="526777AD" w14:textId="3F8BE50B" w:rsid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 xml:space="preserve">The full details of the scheme have not been released </w:t>
      </w:r>
      <w:proofErr w:type="gramStart"/>
      <w:r w:rsidRPr="00EA005F">
        <w:rPr>
          <w:rFonts w:cstheme="minorHAnsi"/>
        </w:rPr>
        <w:t>as yet</w:t>
      </w:r>
      <w:proofErr w:type="gramEnd"/>
      <w:r w:rsidRPr="00EA005F">
        <w:rPr>
          <w:rFonts w:cstheme="minorHAnsi"/>
        </w:rPr>
        <w:t xml:space="preserve">. You can express your interest </w:t>
      </w:r>
      <w:hyperlink r:id="rId10" w:history="1">
        <w:r w:rsidRPr="00EA005F">
          <w:rPr>
            <w:rStyle w:val="Hyperlink"/>
            <w:rFonts w:cstheme="minorHAnsi"/>
            <w:sz w:val="21"/>
          </w:rPr>
          <w:t>here</w:t>
        </w:r>
      </w:hyperlink>
      <w:r w:rsidRPr="00EA005F">
        <w:rPr>
          <w:rFonts w:cstheme="minorHAnsi"/>
        </w:rPr>
        <w:t>.</w:t>
      </w:r>
    </w:p>
    <w:p w14:paraId="74DEAE0F" w14:textId="77777777" w:rsidR="00EA005F" w:rsidRPr="00EA005F" w:rsidRDefault="00EA005F" w:rsidP="00EA005F">
      <w:pPr>
        <w:jc w:val="both"/>
        <w:rPr>
          <w:rFonts w:cstheme="minorHAnsi"/>
        </w:rPr>
      </w:pPr>
    </w:p>
    <w:p w14:paraId="742AF902" w14:textId="77777777" w:rsidR="00EA005F" w:rsidRDefault="00EA005F">
      <w:pPr>
        <w:rPr>
          <w:rFonts w:eastAsiaTheme="majorEastAsia" w:cstheme="minorHAnsi"/>
          <w:color w:val="005067"/>
          <w:sz w:val="26"/>
          <w:szCs w:val="26"/>
        </w:rPr>
      </w:pPr>
      <w:bookmarkStart w:id="5" w:name="_Toc79935921"/>
      <w:bookmarkStart w:id="6" w:name="_Toc79993819"/>
      <w:r>
        <w:rPr>
          <w:rFonts w:cstheme="minorHAnsi"/>
          <w:color w:val="005067"/>
        </w:rPr>
        <w:br w:type="page"/>
      </w:r>
    </w:p>
    <w:p w14:paraId="6666F7A5" w14:textId="31285AAA" w:rsidR="00EA005F" w:rsidRPr="00EA005F" w:rsidRDefault="00EA005F" w:rsidP="00EA005F">
      <w:pPr>
        <w:pStyle w:val="Heading2"/>
        <w:jc w:val="both"/>
        <w:rPr>
          <w:rFonts w:asciiTheme="minorHAnsi" w:hAnsiTheme="minorHAnsi" w:cstheme="minorHAnsi"/>
          <w:color w:val="005067"/>
        </w:rPr>
      </w:pPr>
      <w:r w:rsidRPr="00EA005F">
        <w:rPr>
          <w:rFonts w:asciiTheme="minorHAnsi" w:hAnsiTheme="minorHAnsi" w:cstheme="minorHAnsi"/>
          <w:color w:val="005067"/>
        </w:rPr>
        <w:lastRenderedPageBreak/>
        <w:t>Other rebates and waivers</w:t>
      </w:r>
      <w:bookmarkEnd w:id="5"/>
      <w:bookmarkEnd w:id="6"/>
    </w:p>
    <w:p w14:paraId="17375FF1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>A range of other rebates are currently available to ACT businesses including:</w:t>
      </w:r>
    </w:p>
    <w:p w14:paraId="426862B6" w14:textId="77777777" w:rsidR="00EA005F" w:rsidRPr="00EA005F" w:rsidRDefault="00EA005F" w:rsidP="00EA005F">
      <w:pPr>
        <w:jc w:val="both"/>
        <w:rPr>
          <w:rFonts w:cstheme="minorHAnsi"/>
        </w:rPr>
      </w:pPr>
    </w:p>
    <w:p w14:paraId="399FC8DE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hyperlink r:id="rId11" w:history="1">
        <w:r w:rsidRPr="00EA005F">
          <w:rPr>
            <w:rStyle w:val="Hyperlink"/>
            <w:rFonts w:asciiTheme="minorHAnsi" w:hAnsiTheme="minorHAnsi" w:cstheme="minorHAnsi"/>
            <w:lang w:val="en-GB"/>
          </w:rPr>
          <w:t>Accommodation and Tourism Venue Operator support program</w:t>
        </w:r>
      </w:hyperlink>
      <w:r w:rsidRPr="00EA005F">
        <w:rPr>
          <w:rFonts w:asciiTheme="minorHAnsi" w:hAnsiTheme="minorHAnsi" w:cstheme="minorHAnsi"/>
          <w:lang w:val="en-GB"/>
        </w:rPr>
        <w:t xml:space="preserve"> – a full rebate on fixed water and sewerage charges for the first two quarters of 2021-22 up to $75,000 for operators who have experienced a decline in revenue of at least 30% in July 2021 compared to April 2021. Applications close 17 September 2021.</w:t>
      </w:r>
    </w:p>
    <w:p w14:paraId="41E9C3F1" w14:textId="77777777" w:rsidR="00EA005F" w:rsidRPr="00EA005F" w:rsidRDefault="00EA005F" w:rsidP="00EA005F">
      <w:pPr>
        <w:pStyle w:val="ListParagraph"/>
        <w:numPr>
          <w:ilvl w:val="1"/>
          <w:numId w:val="11"/>
        </w:numPr>
        <w:spacing w:before="0" w:after="0" w:line="264" w:lineRule="auto"/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EA005F">
        <w:rPr>
          <w:rFonts w:asciiTheme="minorHAnsi" w:hAnsiTheme="minorHAnsi" w:cstheme="minorHAnsi"/>
          <w:lang w:val="en-GB"/>
        </w:rPr>
        <w:t>Small Tourism Operator COVID Recovery Payment for operators who receive less than $15,000 under the Accommodation and Tourism Venue Operator Support Program. Applies to businesses with a turnover between $30,000 and $10m and seasonal businesses.</w:t>
      </w:r>
    </w:p>
    <w:p w14:paraId="400EBF7B" w14:textId="77777777" w:rsidR="00EA005F" w:rsidRPr="00EA005F" w:rsidRDefault="00EA005F" w:rsidP="00EA005F">
      <w:pPr>
        <w:pStyle w:val="ListParagraph"/>
        <w:numPr>
          <w:ilvl w:val="0"/>
          <w:numId w:val="11"/>
        </w:numPr>
        <w:spacing w:before="0" w:after="0" w:line="264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  <w:hyperlink r:id="rId12" w:history="1">
        <w:r w:rsidRPr="00EA005F">
          <w:rPr>
            <w:rStyle w:val="Hyperlink"/>
            <w:rFonts w:asciiTheme="minorHAnsi" w:hAnsiTheme="minorHAnsi" w:cstheme="minorHAnsi"/>
            <w:lang w:val="en-GB"/>
          </w:rPr>
          <w:t>Payroll tax exemption</w:t>
        </w:r>
      </w:hyperlink>
      <w:r w:rsidRPr="00EA005F">
        <w:rPr>
          <w:rFonts w:asciiTheme="minorHAnsi" w:hAnsiTheme="minorHAnsi" w:cstheme="minorHAnsi"/>
          <w:lang w:val="en-GB"/>
        </w:rPr>
        <w:t xml:space="preserve"> for apprentices or trainees - Wages paid to new employees who are apprentices or trainees employed after 1 August 2020 are exempt from payroll tax from the start of their employment until 30 June 2022.</w:t>
      </w:r>
    </w:p>
    <w:p w14:paraId="10D49DBD" w14:textId="77777777" w:rsidR="00EA005F" w:rsidRPr="00EA005F" w:rsidRDefault="00EA005F" w:rsidP="00EA005F">
      <w:pPr>
        <w:jc w:val="both"/>
        <w:rPr>
          <w:rFonts w:cstheme="minorHAnsi"/>
        </w:rPr>
      </w:pPr>
    </w:p>
    <w:p w14:paraId="47B41D26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>A range of automatic fee waivers and reductions have been applied to food business registrations, outdoor dining permits, liquor licensing fees, hire cars and charter buses.</w:t>
      </w:r>
    </w:p>
    <w:p w14:paraId="63CF0B33" w14:textId="77777777" w:rsidR="00EA005F" w:rsidRPr="00EA005F" w:rsidRDefault="00EA005F" w:rsidP="00EA005F">
      <w:pPr>
        <w:jc w:val="both"/>
        <w:rPr>
          <w:rFonts w:cstheme="minorHAnsi"/>
        </w:rPr>
      </w:pPr>
    </w:p>
    <w:p w14:paraId="1AAF6986" w14:textId="77777777" w:rsidR="00EA005F" w:rsidRDefault="00EA005F" w:rsidP="00EA005F">
      <w:pPr>
        <w:pStyle w:val="Heading2"/>
        <w:pBdr>
          <w:top w:val="single" w:sz="4" w:space="1" w:color="BFBFBF" w:themeColor="background1" w:themeShade="BF"/>
        </w:pBdr>
        <w:spacing w:before="0"/>
        <w:jc w:val="both"/>
        <w:rPr>
          <w:rFonts w:asciiTheme="minorHAnsi" w:hAnsiTheme="minorHAnsi" w:cstheme="minorHAnsi"/>
          <w:color w:val="005067"/>
        </w:rPr>
      </w:pPr>
      <w:bookmarkStart w:id="7" w:name="_Toc77589320"/>
    </w:p>
    <w:p w14:paraId="18ED9FE9" w14:textId="7AC12AED" w:rsidR="00EA005F" w:rsidRDefault="00EA005F" w:rsidP="00EA005F">
      <w:pPr>
        <w:pStyle w:val="Heading2"/>
        <w:pBdr>
          <w:top w:val="single" w:sz="4" w:space="1" w:color="BFBFBF" w:themeColor="background1" w:themeShade="BF"/>
        </w:pBdr>
        <w:spacing w:before="0"/>
        <w:jc w:val="both"/>
        <w:rPr>
          <w:rFonts w:asciiTheme="minorHAnsi" w:hAnsiTheme="minorHAnsi" w:cstheme="minorHAnsi"/>
          <w:color w:val="005067"/>
        </w:rPr>
      </w:pPr>
      <w:r w:rsidRPr="00EA005F">
        <w:rPr>
          <w:rFonts w:asciiTheme="minorHAnsi" w:hAnsiTheme="minorHAnsi" w:cstheme="minorHAnsi"/>
          <w:color w:val="005067"/>
        </w:rPr>
        <w:t>How to contact us</w:t>
      </w:r>
      <w:bookmarkEnd w:id="7"/>
    </w:p>
    <w:p w14:paraId="5F98B045" w14:textId="77777777" w:rsidR="0028514D" w:rsidRPr="0028514D" w:rsidRDefault="0028514D" w:rsidP="0028514D"/>
    <w:p w14:paraId="6F1C7533" w14:textId="77777777" w:rsidR="00EA005F" w:rsidRPr="00EA005F" w:rsidRDefault="00EA005F" w:rsidP="00EA005F">
      <w:pPr>
        <w:jc w:val="both"/>
        <w:rPr>
          <w:rFonts w:cstheme="minorHAnsi"/>
        </w:rPr>
      </w:pPr>
      <w:r w:rsidRPr="00EA005F">
        <w:rPr>
          <w:rFonts w:cstheme="minorHAnsi"/>
        </w:rPr>
        <w:t>We’re available to assist you with the lockdown support for you and your business.</w:t>
      </w:r>
    </w:p>
    <w:p w14:paraId="31C91147" w14:textId="77777777" w:rsidR="00EA005F" w:rsidRPr="00EA005F" w:rsidRDefault="00EA005F" w:rsidP="00EA005F">
      <w:pPr>
        <w:jc w:val="both"/>
        <w:rPr>
          <w:rFonts w:cstheme="minorHAnsi"/>
        </w:rPr>
      </w:pPr>
    </w:p>
    <w:p w14:paraId="7138524A" w14:textId="0F881A83" w:rsidR="00EA005F" w:rsidRPr="00EA005F" w:rsidRDefault="00EA005F" w:rsidP="00EA005F">
      <w:pPr>
        <w:spacing w:after="200" w:line="276" w:lineRule="auto"/>
        <w:jc w:val="both"/>
        <w:rPr>
          <w:rFonts w:cstheme="minorHAnsi"/>
        </w:rPr>
      </w:pPr>
      <w:r w:rsidRPr="00EA005F">
        <w:rPr>
          <w:rFonts w:cstheme="minorHAnsi"/>
        </w:rPr>
        <w:t xml:space="preserve">Our office is currently closed due to ACT lockdown restrictions, however we are all working from home. Whilst we are not currently permitted to conduct face-to-face appointments, we </w:t>
      </w:r>
      <w:r>
        <w:rPr>
          <w:rFonts w:cstheme="minorHAnsi"/>
        </w:rPr>
        <w:t xml:space="preserve">are holding </w:t>
      </w:r>
      <w:r w:rsidRPr="00EA005F">
        <w:rPr>
          <w:rFonts w:cstheme="minorHAnsi"/>
        </w:rPr>
        <w:t xml:space="preserve">phone or Zoom </w:t>
      </w:r>
      <w:r>
        <w:rPr>
          <w:rFonts w:cstheme="minorHAnsi"/>
        </w:rPr>
        <w:t>appointments</w:t>
      </w:r>
      <w:r w:rsidRPr="00EA005F">
        <w:rPr>
          <w:rFonts w:cstheme="minorHAnsi"/>
        </w:rPr>
        <w:t xml:space="preserve">. </w:t>
      </w:r>
    </w:p>
    <w:p w14:paraId="18B9DDB7" w14:textId="77777777" w:rsidR="00EA005F" w:rsidRPr="00EA005F" w:rsidRDefault="00EA005F" w:rsidP="00EA005F">
      <w:pPr>
        <w:spacing w:after="200" w:line="276" w:lineRule="auto"/>
        <w:jc w:val="both"/>
        <w:rPr>
          <w:rFonts w:cstheme="minorHAnsi"/>
        </w:rPr>
      </w:pPr>
      <w:r w:rsidRPr="00EA005F">
        <w:rPr>
          <w:rFonts w:cstheme="minorHAnsi"/>
        </w:rPr>
        <w:t>Given the success of our secure Client Portal, we will continue to encourage its use and discourage emailing sensitive information.</w:t>
      </w:r>
    </w:p>
    <w:p w14:paraId="2D7B80A3" w14:textId="01783429" w:rsidR="00EA005F" w:rsidRDefault="00EA005F" w:rsidP="00EA005F">
      <w:pPr>
        <w:spacing w:after="200" w:line="276" w:lineRule="auto"/>
        <w:jc w:val="both"/>
        <w:rPr>
          <w:rFonts w:cstheme="minorHAnsi"/>
        </w:rPr>
      </w:pPr>
      <w:r w:rsidRPr="00EA005F">
        <w:rPr>
          <w:rFonts w:cstheme="minorHAnsi"/>
        </w:rPr>
        <w:t xml:space="preserve">We </w:t>
      </w:r>
      <w:proofErr w:type="gramStart"/>
      <w:r w:rsidRPr="00EA005F">
        <w:rPr>
          <w:rFonts w:cstheme="minorHAnsi"/>
        </w:rPr>
        <w:t>are able to</w:t>
      </w:r>
      <w:proofErr w:type="gramEnd"/>
      <w:r w:rsidRPr="00EA005F">
        <w:rPr>
          <w:rFonts w:cstheme="minorHAnsi"/>
        </w:rPr>
        <w:t xml:space="preserve"> divert our office phone to one team member </w:t>
      </w:r>
      <w:r>
        <w:rPr>
          <w:rFonts w:cstheme="minorHAnsi"/>
        </w:rPr>
        <w:t>at a time</w:t>
      </w:r>
      <w:r w:rsidRPr="00EA005F">
        <w:rPr>
          <w:rFonts w:cstheme="minorHAnsi"/>
        </w:rPr>
        <w:t>.  They will not be able to transfer your call but will pass on your message.  Then the team member will be contacting you from a private number.</w:t>
      </w:r>
    </w:p>
    <w:p w14:paraId="7B75A91D" w14:textId="620600B9" w:rsidR="003501A7" w:rsidRDefault="003501A7" w:rsidP="00EA005F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Our preference is </w:t>
      </w:r>
      <w:r w:rsidR="0028514D">
        <w:rPr>
          <w:rFonts w:cstheme="minorHAnsi"/>
        </w:rPr>
        <w:t xml:space="preserve">for you to call </w:t>
      </w:r>
      <w:r>
        <w:rPr>
          <w:rFonts w:cstheme="minorHAnsi"/>
        </w:rPr>
        <w:t>us</w:t>
      </w:r>
      <w:r w:rsidR="0028514D">
        <w:rPr>
          <w:rFonts w:cstheme="minorHAnsi"/>
        </w:rPr>
        <w:t xml:space="preserve"> on</w:t>
      </w:r>
      <w:r>
        <w:rPr>
          <w:rFonts w:cstheme="minorHAnsi"/>
        </w:rPr>
        <w:t xml:space="preserve"> the office phone number of 02 6296 3733 and </w:t>
      </w:r>
      <w:r w:rsidR="0028514D">
        <w:rPr>
          <w:rFonts w:cstheme="minorHAnsi"/>
        </w:rPr>
        <w:t xml:space="preserve">email our main email address of </w:t>
      </w:r>
      <w:hyperlink r:id="rId13" w:history="1">
        <w:r w:rsidR="0028514D" w:rsidRPr="0098388B">
          <w:rPr>
            <w:rStyle w:val="Hyperlink"/>
            <w:rFonts w:cstheme="minorHAnsi"/>
          </w:rPr>
          <w:t>admin@KDCaccounting.com.au</w:t>
        </w:r>
      </w:hyperlink>
      <w:r w:rsidR="0028514D">
        <w:rPr>
          <w:rFonts w:cstheme="minorHAnsi"/>
        </w:rPr>
        <w:t xml:space="preserve">  </w:t>
      </w:r>
    </w:p>
    <w:p w14:paraId="1B56A16F" w14:textId="127A5951" w:rsidR="0028514D" w:rsidRDefault="0028514D" w:rsidP="00EA005F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This email address is manged by several staff and will ensure prompt saving into our CRM System and allow the appropriate team member to action and reply.</w:t>
      </w:r>
    </w:p>
    <w:p w14:paraId="76776CE3" w14:textId="77777777" w:rsidR="003501A7" w:rsidRPr="00EA005F" w:rsidRDefault="003501A7" w:rsidP="00EA005F">
      <w:pPr>
        <w:spacing w:after="200" w:line="276" w:lineRule="auto"/>
        <w:jc w:val="both"/>
        <w:rPr>
          <w:rFonts w:cstheme="minorHAnsi"/>
        </w:rPr>
      </w:pPr>
    </w:p>
    <w:p w14:paraId="22120F4A" w14:textId="77777777" w:rsidR="00EA005F" w:rsidRPr="00EA005F" w:rsidRDefault="00EA005F" w:rsidP="00EA005F">
      <w:pPr>
        <w:jc w:val="both"/>
        <w:rPr>
          <w:rFonts w:cstheme="minorHAnsi"/>
        </w:rPr>
      </w:pPr>
    </w:p>
    <w:p w14:paraId="45AD4E09" w14:textId="77777777" w:rsidR="00EA005F" w:rsidRPr="00EA005F" w:rsidRDefault="00EA005F" w:rsidP="00EA005F">
      <w:pPr>
        <w:jc w:val="both"/>
        <w:rPr>
          <w:rFonts w:cstheme="minorHAnsi"/>
          <w:i/>
          <w:iCs/>
          <w:sz w:val="18"/>
          <w:szCs w:val="18"/>
        </w:rPr>
      </w:pPr>
    </w:p>
    <w:p w14:paraId="64F24327" w14:textId="77777777" w:rsidR="00EA005F" w:rsidRPr="00EA005F" w:rsidRDefault="00EA005F" w:rsidP="00EA005F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3D07130C" w14:textId="77777777" w:rsidR="00EA005F" w:rsidRPr="00EA005F" w:rsidRDefault="00EA005F" w:rsidP="00EA005F">
      <w:pPr>
        <w:jc w:val="both"/>
        <w:rPr>
          <w:rFonts w:cstheme="minorHAnsi"/>
          <w:sz w:val="2"/>
          <w:szCs w:val="2"/>
        </w:rPr>
      </w:pPr>
    </w:p>
    <w:p w14:paraId="1AF9A898" w14:textId="76C587C9" w:rsidR="000878FA" w:rsidRPr="00EA005F" w:rsidRDefault="000878FA" w:rsidP="00EA005F">
      <w:pPr>
        <w:jc w:val="both"/>
        <w:rPr>
          <w:rFonts w:cstheme="minorHAnsi"/>
          <w:lang w:val="en-US"/>
        </w:rPr>
      </w:pPr>
    </w:p>
    <w:sectPr w:rsidR="000878FA" w:rsidRPr="00EA005F" w:rsidSect="000878FA">
      <w:footerReference w:type="default" r:id="rId14"/>
      <w:headerReference w:type="first" r:id="rId15"/>
      <w:footerReference w:type="first" r:id="rId16"/>
      <w:pgSz w:w="11900" w:h="16840"/>
      <w:pgMar w:top="2552" w:right="1440" w:bottom="1201" w:left="851" w:header="0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A569" w14:textId="77777777" w:rsidR="00307E51" w:rsidRDefault="00307E51" w:rsidP="00534E92">
      <w:r>
        <w:separator/>
      </w:r>
    </w:p>
  </w:endnote>
  <w:endnote w:type="continuationSeparator" w:id="0">
    <w:p w14:paraId="2910B64A" w14:textId="77777777" w:rsidR="00307E51" w:rsidRDefault="00307E51" w:rsidP="005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8072" w14:textId="77777777" w:rsidR="00EA005F" w:rsidRPr="00EA005F" w:rsidRDefault="00EA005F" w:rsidP="00EA005F">
    <w:pPr>
      <w:jc w:val="both"/>
      <w:rPr>
        <w:rFonts w:cstheme="minorHAnsi"/>
        <w:i/>
        <w:iCs/>
        <w:sz w:val="18"/>
        <w:szCs w:val="18"/>
      </w:rPr>
    </w:pPr>
    <w:r w:rsidRPr="00EA005F">
      <w:rPr>
        <w:rFonts w:cstheme="minorHAnsi"/>
        <w:i/>
        <w:iCs/>
        <w:sz w:val="18"/>
        <w:szCs w:val="18"/>
      </w:rPr>
      <w:t xml:space="preserve">The material and contents provided in this publication are informative in nature only. It is not intended to be advice and you should not act specifically </w:t>
    </w:r>
    <w:proofErr w:type="gramStart"/>
    <w:r w:rsidRPr="00EA005F">
      <w:rPr>
        <w:rFonts w:cstheme="minorHAnsi"/>
        <w:i/>
        <w:iCs/>
        <w:sz w:val="18"/>
        <w:szCs w:val="18"/>
      </w:rPr>
      <w:t>on the basis of</w:t>
    </w:r>
    <w:proofErr w:type="gramEnd"/>
    <w:r w:rsidRPr="00EA005F">
      <w:rPr>
        <w:rFonts w:cstheme="minorHAnsi"/>
        <w:i/>
        <w:iCs/>
        <w:sz w:val="18"/>
        <w:szCs w:val="18"/>
      </w:rPr>
      <w:t xml:space="preserve"> this information.  If expert assistance is required, professional advice should be obtained.</w:t>
    </w:r>
    <w:r w:rsidRPr="00EA005F">
      <w:rPr>
        <w:rFonts w:cstheme="minorHAnsi"/>
        <w:i/>
        <w:iCs/>
        <w:sz w:val="18"/>
        <w:szCs w:val="18"/>
      </w:rPr>
      <w:br/>
    </w:r>
    <w:r w:rsidRPr="00EA005F">
      <w:rPr>
        <w:rFonts w:cstheme="minorHAnsi"/>
        <w:b/>
        <w:bCs/>
        <w:i/>
        <w:iCs/>
        <w:sz w:val="18"/>
        <w:szCs w:val="18"/>
      </w:rPr>
      <w:t>Updated 17 August 2021</w:t>
    </w:r>
  </w:p>
  <w:p w14:paraId="67A75219" w14:textId="77777777" w:rsidR="00EA005F" w:rsidRDefault="00EA0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89B8" w14:textId="77777777" w:rsidR="004E0A88" w:rsidRDefault="000D3F15" w:rsidP="000D3F15">
    <w:pPr>
      <w:pStyle w:val="Footer"/>
      <w:tabs>
        <w:tab w:val="clear" w:pos="9026"/>
        <w:tab w:val="right" w:pos="9020"/>
      </w:tabs>
      <w:ind w:left="-1418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7C93D75" wp14:editId="6E476D38">
          <wp:simplePos x="0" y="0"/>
          <wp:positionH relativeFrom="column">
            <wp:posOffset>-904240</wp:posOffset>
          </wp:positionH>
          <wp:positionV relativeFrom="paragraph">
            <wp:posOffset>193675</wp:posOffset>
          </wp:positionV>
          <wp:extent cx="9073230" cy="92524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KDC%20-14Jan18-footer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3230" cy="92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73522" w14:textId="77777777" w:rsidR="004E0A88" w:rsidRDefault="004E0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8788" w14:textId="77777777" w:rsidR="00307E51" w:rsidRDefault="00307E51" w:rsidP="00534E92">
      <w:r>
        <w:separator/>
      </w:r>
    </w:p>
  </w:footnote>
  <w:footnote w:type="continuationSeparator" w:id="0">
    <w:p w14:paraId="65B5CD87" w14:textId="77777777" w:rsidR="00307E51" w:rsidRDefault="00307E51" w:rsidP="0053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B319" w14:textId="77728C77" w:rsidR="00534E92" w:rsidRDefault="00285B9D" w:rsidP="000D3F15">
    <w:pPr>
      <w:pStyle w:val="Header"/>
      <w:tabs>
        <w:tab w:val="clear" w:pos="9026"/>
        <w:tab w:val="right" w:pos="9020"/>
      </w:tabs>
      <w:ind w:hanging="1440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AC2A790" wp14:editId="4A202434">
          <wp:simplePos x="0" y="0"/>
          <wp:positionH relativeFrom="column">
            <wp:posOffset>-473964</wp:posOffset>
          </wp:positionH>
          <wp:positionV relativeFrom="paragraph">
            <wp:posOffset>7315</wp:posOffset>
          </wp:positionV>
          <wp:extent cx="7485988" cy="1617133"/>
          <wp:effectExtent l="0" t="0" r="127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988" cy="16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6B3EE" w14:textId="77777777" w:rsidR="00534E92" w:rsidRDefault="00534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EA"/>
    <w:multiLevelType w:val="multilevel"/>
    <w:tmpl w:val="051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B0041"/>
    <w:multiLevelType w:val="multilevel"/>
    <w:tmpl w:val="FA9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46988"/>
    <w:multiLevelType w:val="hybridMultilevel"/>
    <w:tmpl w:val="BDB2E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A23BC"/>
    <w:multiLevelType w:val="multilevel"/>
    <w:tmpl w:val="236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24DF3"/>
    <w:multiLevelType w:val="hybridMultilevel"/>
    <w:tmpl w:val="3334AC30"/>
    <w:lvl w:ilvl="0" w:tplc="EAFA107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195F02"/>
    <w:multiLevelType w:val="multilevel"/>
    <w:tmpl w:val="201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C414E"/>
    <w:multiLevelType w:val="hybridMultilevel"/>
    <w:tmpl w:val="8FECC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E03F4"/>
    <w:multiLevelType w:val="hybridMultilevel"/>
    <w:tmpl w:val="DE249AB8"/>
    <w:lvl w:ilvl="0" w:tplc="60DA107C">
      <w:start w:val="1"/>
      <w:numFmt w:val="bullet"/>
      <w:pStyle w:val="NoSpacing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44EC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63063"/>
    <w:multiLevelType w:val="multilevel"/>
    <w:tmpl w:val="1FE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2000F"/>
    <w:multiLevelType w:val="hybridMultilevel"/>
    <w:tmpl w:val="29E81F9E"/>
    <w:lvl w:ilvl="0" w:tplc="60F066A4">
      <w:start w:val="1"/>
      <w:numFmt w:val="bullet"/>
      <w:pStyle w:val="ListParagraph"/>
      <w:lvlText w:val="-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30BD6"/>
    <w:multiLevelType w:val="hybridMultilevel"/>
    <w:tmpl w:val="8DFC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9"/>
    <w:rsid w:val="000235F6"/>
    <w:rsid w:val="000562B3"/>
    <w:rsid w:val="000878FA"/>
    <w:rsid w:val="000A4D8E"/>
    <w:rsid w:val="000D3F15"/>
    <w:rsid w:val="0013393A"/>
    <w:rsid w:val="00141805"/>
    <w:rsid w:val="0028514D"/>
    <w:rsid w:val="00285B9D"/>
    <w:rsid w:val="002E500C"/>
    <w:rsid w:val="00303E44"/>
    <w:rsid w:val="00307E51"/>
    <w:rsid w:val="0032120A"/>
    <w:rsid w:val="003501A7"/>
    <w:rsid w:val="003675CB"/>
    <w:rsid w:val="003A161B"/>
    <w:rsid w:val="003A2CC9"/>
    <w:rsid w:val="00445F8F"/>
    <w:rsid w:val="004471E0"/>
    <w:rsid w:val="004A2A41"/>
    <w:rsid w:val="004B1283"/>
    <w:rsid w:val="004E0A88"/>
    <w:rsid w:val="00534E92"/>
    <w:rsid w:val="00607E3E"/>
    <w:rsid w:val="0066475F"/>
    <w:rsid w:val="00666617"/>
    <w:rsid w:val="00784175"/>
    <w:rsid w:val="00796F04"/>
    <w:rsid w:val="00850823"/>
    <w:rsid w:val="008F10BB"/>
    <w:rsid w:val="009504A1"/>
    <w:rsid w:val="0099695A"/>
    <w:rsid w:val="00B542D1"/>
    <w:rsid w:val="00B67586"/>
    <w:rsid w:val="00BD6FBC"/>
    <w:rsid w:val="00DE0142"/>
    <w:rsid w:val="00EA005F"/>
    <w:rsid w:val="00FC1BF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F6A4EC"/>
  <w14:defaultImageDpi w14:val="32767"/>
  <w15:docId w15:val="{376B5542-3482-4FD5-A685-CEF6240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07E3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07E3E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4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92"/>
  </w:style>
  <w:style w:type="paragraph" w:styleId="Footer">
    <w:name w:val="footer"/>
    <w:basedOn w:val="Normal"/>
    <w:link w:val="FooterChar"/>
    <w:uiPriority w:val="99"/>
    <w:unhideWhenUsed/>
    <w:rsid w:val="00534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92"/>
  </w:style>
  <w:style w:type="paragraph" w:styleId="BalloonText">
    <w:name w:val="Balloon Text"/>
    <w:basedOn w:val="Normal"/>
    <w:link w:val="BalloonTextChar"/>
    <w:uiPriority w:val="99"/>
    <w:semiHidden/>
    <w:unhideWhenUsed/>
    <w:rsid w:val="00664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BF0"/>
    <w:pPr>
      <w:numPr>
        <w:numId w:val="6"/>
      </w:numPr>
      <w:spacing w:before="40" w:after="40" w:line="276" w:lineRule="auto"/>
      <w:contextualSpacing/>
    </w:pPr>
    <w:rPr>
      <w:rFonts w:ascii="Calibri" w:eastAsia="Calibri" w:hAnsi="Calibri" w:cs="Times New Roman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878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0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0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35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gov.au/business/business-support/covid-19-economic-support-for-business" TargetMode="External"/><Relationship Id="rId13" Type="http://schemas.openxmlformats.org/officeDocument/2006/relationships/hyperlink" Target="mailto:admin@KDCaccounting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venue.act.gov.au/covid-19-assista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__data/assets/pdf_file/0005/1813838/Factsheet-Accommodation-and-tourism-venue-operator-support-progra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.act.gov.au/smartforms/servlet/SmartForm.html?formCode=1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60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B91A43AD-BD5F-468B-9109-897FC24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Kosec;Kerri Dickman Selby</dc:creator>
  <cp:lastModifiedBy>Kerri Selby FCPA</cp:lastModifiedBy>
  <cp:revision>3</cp:revision>
  <dcterms:created xsi:type="dcterms:W3CDTF">2021-08-20T04:22:00Z</dcterms:created>
  <dcterms:modified xsi:type="dcterms:W3CDTF">2021-08-20T04:34:00Z</dcterms:modified>
</cp:coreProperties>
</file>