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8F7CE" w14:textId="268C2025" w:rsidR="00E16D18" w:rsidRPr="00E16D18" w:rsidRDefault="00E16D18" w:rsidP="00C83070">
      <w:pPr>
        <w:tabs>
          <w:tab w:val="left" w:pos="1530"/>
        </w:tabs>
        <w:jc w:val="both"/>
        <w:rPr>
          <w:rFonts w:asciiTheme="minorHAnsi" w:hAnsiTheme="minorHAnsi" w:cstheme="minorHAnsi"/>
        </w:rPr>
      </w:pPr>
      <w:r w:rsidRPr="00E16D18">
        <w:rPr>
          <w:rFonts w:asciiTheme="minorHAnsi" w:hAnsiTheme="minorHAnsi" w:cstheme="minorHAnsi"/>
        </w:rPr>
        <w:t xml:space="preserve">When a Business is faced with closure, through no fault of the business owner (such as when work orders stop, supply of </w:t>
      </w:r>
      <w:r w:rsidR="00FD4C1C">
        <w:rPr>
          <w:rFonts w:asciiTheme="minorHAnsi" w:hAnsiTheme="minorHAnsi" w:cstheme="minorHAnsi"/>
        </w:rPr>
        <w:t xml:space="preserve">vital </w:t>
      </w:r>
      <w:r w:rsidRPr="00E16D18">
        <w:rPr>
          <w:rFonts w:asciiTheme="minorHAnsi" w:hAnsiTheme="minorHAnsi" w:cstheme="minorHAnsi"/>
        </w:rPr>
        <w:t>materials has ceased, or in the case of Government initiated Lockdowns for Pandemics), there are a few steps that an employer must take before standing down staff:</w:t>
      </w:r>
    </w:p>
    <w:p w14:paraId="4170D5F8" w14:textId="20CD5B92" w:rsidR="00E16D18" w:rsidRPr="00E16D18" w:rsidRDefault="00E16D18" w:rsidP="00C83070">
      <w:pPr>
        <w:tabs>
          <w:tab w:val="left" w:pos="1530"/>
        </w:tabs>
        <w:jc w:val="both"/>
        <w:rPr>
          <w:rFonts w:asciiTheme="minorHAnsi" w:hAnsiTheme="minorHAnsi" w:cstheme="minorHAnsi"/>
        </w:rPr>
      </w:pPr>
    </w:p>
    <w:p w14:paraId="4EDE0094" w14:textId="4BD9E0F7" w:rsidR="00E16D18" w:rsidRDefault="00E16D18" w:rsidP="00C83070">
      <w:pPr>
        <w:pStyle w:val="ListParagraph"/>
        <w:numPr>
          <w:ilvl w:val="0"/>
          <w:numId w:val="17"/>
        </w:numPr>
        <w:tabs>
          <w:tab w:val="left" w:pos="567"/>
        </w:tabs>
        <w:ind w:left="567" w:hanging="567"/>
        <w:jc w:val="both"/>
        <w:rPr>
          <w:rFonts w:asciiTheme="minorHAnsi" w:hAnsiTheme="minorHAnsi" w:cstheme="minorHAnsi"/>
        </w:rPr>
      </w:pPr>
      <w:r>
        <w:rPr>
          <w:rFonts w:asciiTheme="minorHAnsi" w:hAnsiTheme="minorHAnsi" w:cstheme="minorHAnsi"/>
        </w:rPr>
        <w:t>Look for alternate working conditions such as</w:t>
      </w:r>
    </w:p>
    <w:p w14:paraId="00984DFC" w14:textId="4FB794E5" w:rsidR="00E16D18" w:rsidRDefault="00E16D18" w:rsidP="00C83070">
      <w:pPr>
        <w:pStyle w:val="ListParagraph"/>
        <w:numPr>
          <w:ilvl w:val="1"/>
          <w:numId w:val="17"/>
        </w:numPr>
        <w:tabs>
          <w:tab w:val="left" w:pos="567"/>
        </w:tabs>
        <w:jc w:val="both"/>
        <w:rPr>
          <w:rFonts w:asciiTheme="minorHAnsi" w:hAnsiTheme="minorHAnsi" w:cstheme="minorHAnsi"/>
        </w:rPr>
      </w:pPr>
      <w:r>
        <w:rPr>
          <w:rFonts w:asciiTheme="minorHAnsi" w:hAnsiTheme="minorHAnsi" w:cstheme="minorHAnsi"/>
        </w:rPr>
        <w:t>Work from home opportunities</w:t>
      </w:r>
    </w:p>
    <w:p w14:paraId="50D7FCD1" w14:textId="28953E5B" w:rsidR="00E16D18" w:rsidRDefault="00E16D18" w:rsidP="00C83070">
      <w:pPr>
        <w:pStyle w:val="ListParagraph"/>
        <w:numPr>
          <w:ilvl w:val="1"/>
          <w:numId w:val="17"/>
        </w:numPr>
        <w:tabs>
          <w:tab w:val="left" w:pos="567"/>
        </w:tabs>
        <w:jc w:val="both"/>
        <w:rPr>
          <w:rFonts w:asciiTheme="minorHAnsi" w:hAnsiTheme="minorHAnsi" w:cstheme="minorHAnsi"/>
        </w:rPr>
      </w:pPr>
      <w:r>
        <w:rPr>
          <w:rFonts w:asciiTheme="minorHAnsi" w:hAnsiTheme="minorHAnsi" w:cstheme="minorHAnsi"/>
        </w:rPr>
        <w:t>Alternate duties (which can not be denied by the employee if reasonable and safe to do – unless they choose paid or unpaid leave)</w:t>
      </w:r>
    </w:p>
    <w:p w14:paraId="0085EC20" w14:textId="385386CE" w:rsidR="00E16D18" w:rsidRDefault="00E16D18" w:rsidP="00C83070">
      <w:pPr>
        <w:pStyle w:val="ListParagraph"/>
        <w:numPr>
          <w:ilvl w:val="1"/>
          <w:numId w:val="17"/>
        </w:numPr>
        <w:tabs>
          <w:tab w:val="left" w:pos="567"/>
        </w:tabs>
        <w:jc w:val="both"/>
        <w:rPr>
          <w:rFonts w:asciiTheme="minorHAnsi" w:hAnsiTheme="minorHAnsi" w:cstheme="minorHAnsi"/>
        </w:rPr>
      </w:pPr>
      <w:r>
        <w:rPr>
          <w:rFonts w:asciiTheme="minorHAnsi" w:hAnsiTheme="minorHAnsi" w:cstheme="minorHAnsi"/>
        </w:rPr>
        <w:t>Alternate work hours and rosters (again, your employee can opt for leave – either paid or unpaid)</w:t>
      </w:r>
    </w:p>
    <w:p w14:paraId="7767536A" w14:textId="585AA7BC" w:rsidR="00E16D18" w:rsidRDefault="00E16D18" w:rsidP="00C83070">
      <w:pPr>
        <w:pStyle w:val="ListParagraph"/>
        <w:numPr>
          <w:ilvl w:val="1"/>
          <w:numId w:val="17"/>
        </w:numPr>
        <w:tabs>
          <w:tab w:val="left" w:pos="567"/>
        </w:tabs>
        <w:jc w:val="both"/>
        <w:rPr>
          <w:rFonts w:asciiTheme="minorHAnsi" w:hAnsiTheme="minorHAnsi" w:cstheme="minorHAnsi"/>
        </w:rPr>
      </w:pPr>
      <w:r>
        <w:rPr>
          <w:rFonts w:asciiTheme="minorHAnsi" w:hAnsiTheme="minorHAnsi" w:cstheme="minorHAnsi"/>
        </w:rPr>
        <w:t>Paid or unpaid leave – and there are provisions that allow an employee to make half pay arrangements)</w:t>
      </w:r>
    </w:p>
    <w:p w14:paraId="013EA6AA" w14:textId="777784D0" w:rsidR="00E16D18" w:rsidRPr="00E16D18" w:rsidRDefault="00E16D18" w:rsidP="00C83070">
      <w:pPr>
        <w:pStyle w:val="ListParagraph"/>
        <w:numPr>
          <w:ilvl w:val="0"/>
          <w:numId w:val="17"/>
        </w:numPr>
        <w:tabs>
          <w:tab w:val="left" w:pos="567"/>
        </w:tabs>
        <w:ind w:left="567" w:hanging="567"/>
        <w:jc w:val="both"/>
        <w:rPr>
          <w:rFonts w:asciiTheme="minorHAnsi" w:hAnsiTheme="minorHAnsi" w:cstheme="minorHAnsi"/>
        </w:rPr>
      </w:pPr>
      <w:r w:rsidRPr="00E16D18">
        <w:rPr>
          <w:rFonts w:asciiTheme="minorHAnsi" w:hAnsiTheme="minorHAnsi" w:cstheme="minorHAnsi"/>
        </w:rPr>
        <w:t>Determine i</w:t>
      </w:r>
      <w:r>
        <w:rPr>
          <w:rFonts w:asciiTheme="minorHAnsi" w:hAnsiTheme="minorHAnsi" w:cstheme="minorHAnsi"/>
        </w:rPr>
        <w:t>f</w:t>
      </w:r>
      <w:r w:rsidRPr="00E16D18">
        <w:rPr>
          <w:rFonts w:asciiTheme="minorHAnsi" w:hAnsiTheme="minorHAnsi" w:cstheme="minorHAnsi"/>
        </w:rPr>
        <w:t xml:space="preserve"> there are any Pandemic Leave provisions in your Award(s), </w:t>
      </w:r>
      <w:r>
        <w:rPr>
          <w:rFonts w:asciiTheme="minorHAnsi" w:hAnsiTheme="minorHAnsi" w:cstheme="minorHAnsi"/>
        </w:rPr>
        <w:t>Enterprise Bargain, or Employment contacts.</w:t>
      </w:r>
    </w:p>
    <w:p w14:paraId="3619004B" w14:textId="6694C9D8" w:rsidR="00E16D18" w:rsidRDefault="00E16D18" w:rsidP="00C83070">
      <w:pPr>
        <w:pStyle w:val="ListParagraph"/>
        <w:numPr>
          <w:ilvl w:val="0"/>
          <w:numId w:val="17"/>
        </w:numPr>
        <w:tabs>
          <w:tab w:val="left" w:pos="567"/>
        </w:tabs>
        <w:ind w:left="567" w:hanging="567"/>
        <w:jc w:val="both"/>
        <w:rPr>
          <w:rFonts w:asciiTheme="minorHAnsi" w:hAnsiTheme="minorHAnsi" w:cstheme="minorHAnsi"/>
        </w:rPr>
      </w:pPr>
      <w:r>
        <w:rPr>
          <w:rFonts w:asciiTheme="minorHAnsi" w:hAnsiTheme="minorHAnsi" w:cstheme="minorHAnsi"/>
        </w:rPr>
        <w:t xml:space="preserve">Consider Standing down </w:t>
      </w:r>
      <w:r w:rsidR="00FD4C1C">
        <w:rPr>
          <w:rFonts w:asciiTheme="minorHAnsi" w:hAnsiTheme="minorHAnsi" w:cstheme="minorHAnsi"/>
        </w:rPr>
        <w:t>y</w:t>
      </w:r>
      <w:r>
        <w:rPr>
          <w:rFonts w:asciiTheme="minorHAnsi" w:hAnsiTheme="minorHAnsi" w:cstheme="minorHAnsi"/>
        </w:rPr>
        <w:t>our employees.</w:t>
      </w:r>
    </w:p>
    <w:p w14:paraId="3F31C86A" w14:textId="2E28E21C" w:rsidR="00E16D18" w:rsidRDefault="00E16D18" w:rsidP="00C83070">
      <w:pPr>
        <w:tabs>
          <w:tab w:val="left" w:pos="567"/>
        </w:tabs>
        <w:ind w:left="567"/>
        <w:jc w:val="both"/>
        <w:rPr>
          <w:rFonts w:asciiTheme="minorHAnsi" w:hAnsiTheme="minorHAnsi" w:cstheme="minorHAnsi"/>
        </w:rPr>
      </w:pPr>
      <w:r>
        <w:rPr>
          <w:rFonts w:asciiTheme="minorHAnsi" w:hAnsiTheme="minorHAnsi" w:cstheme="minorHAnsi"/>
        </w:rPr>
        <w:t>A checklist for Stand down is available on the Fair Work Website</w:t>
      </w:r>
    </w:p>
    <w:p w14:paraId="71771B25" w14:textId="450D23E9" w:rsidR="00E16D18" w:rsidRDefault="00E16D18" w:rsidP="00C83070">
      <w:pPr>
        <w:tabs>
          <w:tab w:val="left" w:pos="567"/>
        </w:tabs>
        <w:ind w:left="567"/>
        <w:jc w:val="both"/>
      </w:pPr>
      <w:hyperlink r:id="rId8" w:history="1">
        <w:r w:rsidRPr="004016BF">
          <w:rPr>
            <w:rStyle w:val="Hyperlink"/>
          </w:rPr>
          <w:t>https://coronavirus.fairwork.gov.au/</w:t>
        </w:r>
        <w:r w:rsidRPr="004016BF">
          <w:rPr>
            <w:rStyle w:val="Hyperlink"/>
          </w:rPr>
          <w:t>c</w:t>
        </w:r>
        <w:r w:rsidRPr="004016BF">
          <w:rPr>
            <w:rStyle w:val="Hyperlink"/>
          </w:rPr>
          <w:t>oronavirus-and-australian-workplace-laws/pay-leave-and-stand-downs/stand-downs#before-standing-down-employees-checklist</w:t>
        </w:r>
      </w:hyperlink>
    </w:p>
    <w:p w14:paraId="1656E7FF" w14:textId="323A99DE" w:rsidR="00E16D18" w:rsidRDefault="00E16D18" w:rsidP="00C83070">
      <w:pPr>
        <w:pStyle w:val="ListParagraph"/>
        <w:tabs>
          <w:tab w:val="left" w:pos="567"/>
        </w:tabs>
        <w:ind w:left="567"/>
        <w:jc w:val="both"/>
        <w:rPr>
          <w:rFonts w:asciiTheme="minorHAnsi" w:hAnsiTheme="minorHAnsi" w:cstheme="minorHAnsi"/>
        </w:rPr>
      </w:pPr>
      <w:r>
        <w:rPr>
          <w:rFonts w:asciiTheme="minorHAnsi" w:hAnsiTheme="minorHAnsi" w:cstheme="minorHAnsi"/>
        </w:rPr>
        <w:t xml:space="preserve">If you choose to stand down your employees, you must give them a Stand Down Notice.  A template with Instructions can be found on the Fair Work Website </w:t>
      </w:r>
      <w:r w:rsidR="00FD4C1C">
        <w:rPr>
          <w:rFonts w:asciiTheme="minorHAnsi" w:hAnsiTheme="minorHAnsi" w:cstheme="minorHAnsi"/>
        </w:rPr>
        <w:t xml:space="preserve">on the above page but we have also saved a copy of this Word document on our webpage – just </w:t>
      </w:r>
      <w:r w:rsidR="00EC4DA1">
        <w:rPr>
          <w:rFonts w:asciiTheme="minorHAnsi" w:hAnsiTheme="minorHAnsi" w:cstheme="minorHAnsi"/>
        </w:rPr>
        <w:t>below</w:t>
      </w:r>
      <w:r w:rsidR="00FD4C1C">
        <w:rPr>
          <w:rFonts w:asciiTheme="minorHAnsi" w:hAnsiTheme="minorHAnsi" w:cstheme="minorHAnsi"/>
        </w:rPr>
        <w:t xml:space="preserve"> the link to this document you are reading now.</w:t>
      </w:r>
    </w:p>
    <w:p w14:paraId="06102363" w14:textId="418C424C" w:rsidR="00FD4C1C" w:rsidRDefault="00E16D18" w:rsidP="00C83070">
      <w:pPr>
        <w:pStyle w:val="ListParagraph"/>
        <w:numPr>
          <w:ilvl w:val="0"/>
          <w:numId w:val="17"/>
        </w:numPr>
        <w:tabs>
          <w:tab w:val="left" w:pos="567"/>
        </w:tabs>
        <w:ind w:left="567" w:hanging="567"/>
        <w:jc w:val="both"/>
        <w:rPr>
          <w:rFonts w:asciiTheme="minorHAnsi" w:hAnsiTheme="minorHAnsi" w:cstheme="minorHAnsi"/>
        </w:rPr>
      </w:pPr>
      <w:r>
        <w:rPr>
          <w:rFonts w:asciiTheme="minorHAnsi" w:hAnsiTheme="minorHAnsi" w:cstheme="minorHAnsi"/>
        </w:rPr>
        <w:t xml:space="preserve">A couple of things to note:  </w:t>
      </w:r>
    </w:p>
    <w:p w14:paraId="3CD8308E" w14:textId="67A918C8" w:rsidR="00FD4C1C" w:rsidRDefault="00FD4C1C" w:rsidP="00C83070">
      <w:pPr>
        <w:pStyle w:val="ListParagraph"/>
        <w:tabs>
          <w:tab w:val="left" w:pos="567"/>
        </w:tabs>
        <w:ind w:left="567"/>
        <w:jc w:val="both"/>
        <w:rPr>
          <w:rFonts w:asciiTheme="minorHAnsi" w:hAnsiTheme="minorHAnsi" w:cstheme="minorHAnsi"/>
        </w:rPr>
      </w:pPr>
      <w:r>
        <w:rPr>
          <w:rFonts w:asciiTheme="minorHAnsi" w:hAnsiTheme="minorHAnsi" w:cstheme="minorHAnsi"/>
        </w:rPr>
        <w:t>If the Stand Down is in accordance with Section 524 of the Fair Work Act:</w:t>
      </w:r>
    </w:p>
    <w:p w14:paraId="79F0DDCD" w14:textId="4EAB6E0F" w:rsidR="00FD4C1C" w:rsidRDefault="00FD4C1C" w:rsidP="00C83070">
      <w:pPr>
        <w:pStyle w:val="ListParagraph"/>
        <w:numPr>
          <w:ilvl w:val="1"/>
          <w:numId w:val="17"/>
        </w:numPr>
        <w:tabs>
          <w:tab w:val="left" w:pos="567"/>
        </w:tabs>
        <w:jc w:val="both"/>
        <w:rPr>
          <w:rFonts w:asciiTheme="minorHAnsi" w:hAnsiTheme="minorHAnsi" w:cstheme="minorHAnsi"/>
        </w:rPr>
      </w:pPr>
      <w:r>
        <w:rPr>
          <w:rFonts w:asciiTheme="minorHAnsi" w:hAnsiTheme="minorHAnsi" w:cstheme="minorHAnsi"/>
        </w:rPr>
        <w:t>Employees cannot take sick / carer’s leave or compassionate leave during the stand down.</w:t>
      </w:r>
    </w:p>
    <w:p w14:paraId="37A618D6" w14:textId="5D289BE1" w:rsidR="00E16D18" w:rsidRDefault="00E16D18" w:rsidP="00C83070">
      <w:pPr>
        <w:pStyle w:val="ListParagraph"/>
        <w:numPr>
          <w:ilvl w:val="1"/>
          <w:numId w:val="17"/>
        </w:numPr>
        <w:tabs>
          <w:tab w:val="left" w:pos="567"/>
        </w:tabs>
        <w:jc w:val="both"/>
        <w:rPr>
          <w:rFonts w:asciiTheme="minorHAnsi" w:hAnsiTheme="minorHAnsi" w:cstheme="minorHAnsi"/>
        </w:rPr>
      </w:pPr>
      <w:r>
        <w:rPr>
          <w:rFonts w:asciiTheme="minorHAnsi" w:hAnsiTheme="minorHAnsi" w:cstheme="minorHAnsi"/>
        </w:rPr>
        <w:t>Public Holidays are still payable to employees if they fall on what would have been a normal workday for that employee.</w:t>
      </w:r>
    </w:p>
    <w:p w14:paraId="56ABC18E" w14:textId="6D74396E" w:rsidR="00FD4C1C" w:rsidRDefault="00FD4C1C" w:rsidP="00C83070">
      <w:pPr>
        <w:pStyle w:val="ListParagraph"/>
        <w:numPr>
          <w:ilvl w:val="1"/>
          <w:numId w:val="17"/>
        </w:numPr>
        <w:tabs>
          <w:tab w:val="left" w:pos="567"/>
        </w:tabs>
        <w:jc w:val="both"/>
        <w:rPr>
          <w:rFonts w:asciiTheme="minorHAnsi" w:hAnsiTheme="minorHAnsi" w:cstheme="minorHAnsi"/>
        </w:rPr>
      </w:pPr>
      <w:r>
        <w:rPr>
          <w:rFonts w:asciiTheme="minorHAnsi" w:hAnsiTheme="minorHAnsi" w:cstheme="minorHAnsi"/>
        </w:rPr>
        <w:t>Employees continue to accrue leave entitlements during the stand down include sick / carer’s leave and annual leave.</w:t>
      </w:r>
    </w:p>
    <w:p w14:paraId="1ECC31C4" w14:textId="3A5ADC31" w:rsidR="00FD4C1C" w:rsidRDefault="00FD4C1C" w:rsidP="00C83070">
      <w:pPr>
        <w:pStyle w:val="ListParagraph"/>
        <w:numPr>
          <w:ilvl w:val="1"/>
          <w:numId w:val="17"/>
        </w:numPr>
        <w:tabs>
          <w:tab w:val="left" w:pos="567"/>
        </w:tabs>
        <w:jc w:val="both"/>
        <w:rPr>
          <w:rFonts w:asciiTheme="minorHAnsi" w:hAnsiTheme="minorHAnsi" w:cstheme="minorHAnsi"/>
        </w:rPr>
      </w:pPr>
      <w:r>
        <w:rPr>
          <w:rFonts w:asciiTheme="minorHAnsi" w:hAnsiTheme="minorHAnsi" w:cstheme="minorHAnsi"/>
        </w:rPr>
        <w:t>The time away from work counts towards an employee’s service period.</w:t>
      </w:r>
    </w:p>
    <w:p w14:paraId="4ABE18D8" w14:textId="2999E277" w:rsidR="006F74D4" w:rsidRDefault="006F74D4" w:rsidP="00C83070">
      <w:pPr>
        <w:tabs>
          <w:tab w:val="left" w:pos="567"/>
        </w:tabs>
        <w:ind w:left="567"/>
        <w:jc w:val="both"/>
        <w:rPr>
          <w:rFonts w:asciiTheme="minorHAnsi" w:hAnsiTheme="minorHAnsi" w:cstheme="minorHAnsi"/>
        </w:rPr>
      </w:pPr>
      <w:r>
        <w:rPr>
          <w:rFonts w:asciiTheme="minorHAnsi" w:hAnsiTheme="minorHAnsi" w:cstheme="minorHAnsi"/>
        </w:rPr>
        <w:t>If the stand down is in accordance with other provisions (Awards etc) then you must apply those provisions.  Generally speaking, the Fair Work Act stipulates the lessor of all obligations so please make sure you check your Awards.</w:t>
      </w:r>
    </w:p>
    <w:p w14:paraId="5FCEFBE8" w14:textId="5897AF59" w:rsidR="00EC4DA1" w:rsidRDefault="00EC4DA1" w:rsidP="00EC4DA1">
      <w:pPr>
        <w:pStyle w:val="ListParagraph"/>
        <w:numPr>
          <w:ilvl w:val="0"/>
          <w:numId w:val="17"/>
        </w:numPr>
        <w:tabs>
          <w:tab w:val="left" w:pos="567"/>
        </w:tabs>
        <w:ind w:left="567" w:hanging="567"/>
        <w:jc w:val="both"/>
        <w:rPr>
          <w:rFonts w:asciiTheme="minorHAnsi" w:hAnsiTheme="minorHAnsi" w:cstheme="minorHAnsi"/>
        </w:rPr>
      </w:pPr>
      <w:r>
        <w:rPr>
          <w:rFonts w:asciiTheme="minorHAnsi" w:hAnsiTheme="minorHAnsi" w:cstheme="minorHAnsi"/>
        </w:rPr>
        <w:t xml:space="preserve">How can you help your employees who are without an income?  </w:t>
      </w:r>
    </w:p>
    <w:p w14:paraId="0F91C314" w14:textId="4E2ED3F4" w:rsidR="00EC4DA1" w:rsidRDefault="00EC4DA1" w:rsidP="00EC4DA1">
      <w:pPr>
        <w:pStyle w:val="ListParagraph"/>
        <w:tabs>
          <w:tab w:val="left" w:pos="567"/>
        </w:tabs>
        <w:ind w:left="567"/>
        <w:jc w:val="both"/>
        <w:rPr>
          <w:rFonts w:asciiTheme="minorHAnsi" w:hAnsiTheme="minorHAnsi" w:cstheme="minorHAnsi"/>
        </w:rPr>
      </w:pPr>
      <w:r>
        <w:rPr>
          <w:rFonts w:asciiTheme="minorHAnsi" w:hAnsiTheme="minorHAnsi" w:cstheme="minorHAnsi"/>
        </w:rPr>
        <w:t xml:space="preserve">Refer them to the COVID-19 Disaster Payments site on Human Services.    </w:t>
      </w:r>
    </w:p>
    <w:p w14:paraId="758623AF" w14:textId="64335F48" w:rsidR="00EC4DA1" w:rsidRPr="00EC4DA1" w:rsidRDefault="00EC4DA1" w:rsidP="00EC4DA1">
      <w:pPr>
        <w:pStyle w:val="ListParagraph"/>
        <w:tabs>
          <w:tab w:val="left" w:pos="567"/>
        </w:tabs>
        <w:ind w:left="567"/>
        <w:jc w:val="both"/>
        <w:rPr>
          <w:rFonts w:asciiTheme="minorHAnsi" w:hAnsiTheme="minorHAnsi" w:cstheme="minorHAnsi"/>
        </w:rPr>
      </w:pPr>
      <w:r>
        <w:rPr>
          <w:rFonts w:asciiTheme="minorHAnsi" w:hAnsiTheme="minorHAnsi" w:cstheme="minorHAnsi"/>
        </w:rPr>
        <w:t>Refer them to our website.  Send them a copy of our resources that we have uploaded for you.</w:t>
      </w:r>
    </w:p>
    <w:p w14:paraId="0B69FE9D" w14:textId="0CCBC430" w:rsidR="006F74D4" w:rsidRPr="00C83070" w:rsidRDefault="00C83070" w:rsidP="00C83070">
      <w:pPr>
        <w:pStyle w:val="ListParagraph"/>
        <w:numPr>
          <w:ilvl w:val="0"/>
          <w:numId w:val="17"/>
        </w:numPr>
        <w:tabs>
          <w:tab w:val="left" w:pos="567"/>
        </w:tabs>
        <w:ind w:left="567" w:hanging="567"/>
        <w:jc w:val="both"/>
        <w:rPr>
          <w:rFonts w:asciiTheme="minorHAnsi" w:hAnsiTheme="minorHAnsi" w:cstheme="minorHAnsi"/>
        </w:rPr>
      </w:pPr>
      <w:r>
        <w:rPr>
          <w:rFonts w:asciiTheme="minorHAnsi" w:hAnsiTheme="minorHAnsi" w:cstheme="minorHAnsi"/>
          <w:b/>
          <w:bCs/>
        </w:rPr>
        <w:t xml:space="preserve">DISCLAIMER:  </w:t>
      </w:r>
      <w:r>
        <w:rPr>
          <w:rFonts w:asciiTheme="minorHAnsi" w:hAnsiTheme="minorHAnsi" w:cstheme="minorHAnsi"/>
        </w:rPr>
        <w:t xml:space="preserve">We are not Lawyers, and we are definitely not HR Lawyers.  We cannot provide legal advice.  We recommend doing your own research, contacting your lawyer, phoning Employsure for some </w:t>
      </w:r>
      <w:r w:rsidR="00EC4DA1">
        <w:rPr>
          <w:rFonts w:asciiTheme="minorHAnsi" w:hAnsiTheme="minorHAnsi" w:cstheme="minorHAnsi"/>
        </w:rPr>
        <w:t xml:space="preserve">free, limited, </w:t>
      </w:r>
      <w:r>
        <w:rPr>
          <w:rFonts w:asciiTheme="minorHAnsi" w:hAnsiTheme="minorHAnsi" w:cstheme="minorHAnsi"/>
        </w:rPr>
        <w:t>advice</w:t>
      </w:r>
      <w:r w:rsidR="00EC4DA1">
        <w:rPr>
          <w:rFonts w:asciiTheme="minorHAnsi" w:hAnsiTheme="minorHAnsi" w:cstheme="minorHAnsi"/>
        </w:rPr>
        <w:t xml:space="preserve">.  You can </w:t>
      </w:r>
      <w:r>
        <w:rPr>
          <w:rFonts w:asciiTheme="minorHAnsi" w:hAnsiTheme="minorHAnsi" w:cstheme="minorHAnsi"/>
        </w:rPr>
        <w:t>ph</w:t>
      </w:r>
      <w:r w:rsidR="00EC4DA1">
        <w:rPr>
          <w:rFonts w:asciiTheme="minorHAnsi" w:hAnsiTheme="minorHAnsi" w:cstheme="minorHAnsi"/>
        </w:rPr>
        <w:t>one</w:t>
      </w:r>
      <w:r>
        <w:rPr>
          <w:rFonts w:asciiTheme="minorHAnsi" w:hAnsiTheme="minorHAnsi" w:cstheme="minorHAnsi"/>
        </w:rPr>
        <w:t xml:space="preserve"> 1300 651 415 and use our ERA 0450</w:t>
      </w:r>
      <w:r w:rsidR="00EC4DA1">
        <w:rPr>
          <w:rFonts w:asciiTheme="minorHAnsi" w:hAnsiTheme="minorHAnsi" w:cstheme="minorHAnsi"/>
        </w:rPr>
        <w:t>.  Please note:  if you take up a Subscription with Employsure, KDC Accounting will receive a referral free.  A Subscription is not required for advice provided in a phone call.</w:t>
      </w:r>
      <w:r>
        <w:rPr>
          <w:rFonts w:asciiTheme="minorHAnsi" w:hAnsiTheme="minorHAnsi" w:cstheme="minorHAnsi"/>
        </w:rPr>
        <w:t xml:space="preserve"> </w:t>
      </w:r>
    </w:p>
    <w:p w14:paraId="20D0014E" w14:textId="77777777" w:rsidR="00E16D18" w:rsidRPr="00E16D18" w:rsidRDefault="00E16D18" w:rsidP="00C83070">
      <w:pPr>
        <w:pStyle w:val="ListParagraph"/>
        <w:tabs>
          <w:tab w:val="left" w:pos="567"/>
        </w:tabs>
        <w:ind w:left="567"/>
        <w:jc w:val="both"/>
        <w:rPr>
          <w:rFonts w:asciiTheme="minorHAnsi" w:hAnsiTheme="minorHAnsi" w:cstheme="minorHAnsi"/>
        </w:rPr>
      </w:pPr>
    </w:p>
    <w:sectPr w:rsidR="00E16D18" w:rsidRPr="00E16D18" w:rsidSect="00A90893">
      <w:footerReference w:type="even" r:id="rId9"/>
      <w:footerReference w:type="default" r:id="rId10"/>
      <w:headerReference w:type="first" r:id="rId11"/>
      <w:footerReference w:type="first" r:id="rId12"/>
      <w:pgSz w:w="11906" w:h="16838" w:code="9"/>
      <w:pgMar w:top="720" w:right="720" w:bottom="720" w:left="720" w:header="113"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BD607" w14:textId="77777777" w:rsidR="001E2871" w:rsidRDefault="001E2871">
      <w:r>
        <w:separator/>
      </w:r>
    </w:p>
  </w:endnote>
  <w:endnote w:type="continuationSeparator" w:id="0">
    <w:p w14:paraId="04697AD7" w14:textId="77777777" w:rsidR="001E2871" w:rsidRDefault="001E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E064" w14:textId="77777777" w:rsidR="00F538E6" w:rsidRPr="00643EA0" w:rsidRDefault="00F538E6" w:rsidP="00B36313">
    <w:pPr>
      <w:pStyle w:val="Footer"/>
      <w:tabs>
        <w:tab w:val="clear" w:pos="8640"/>
        <w:tab w:val="right" w:pos="9072"/>
      </w:tabs>
      <w:rPr>
        <w:sz w:val="20"/>
        <w:szCs w:val="20"/>
      </w:rPr>
    </w:pPr>
    <w:r w:rsidRPr="00855897">
      <w:rPr>
        <w:b/>
        <w:sz w:val="20"/>
        <w:szCs w:val="20"/>
      </w:rPr>
      <w:t>Current At:</w:t>
    </w:r>
    <w:r>
      <w:rPr>
        <w:sz w:val="20"/>
        <w:szCs w:val="20"/>
      </w:rPr>
      <w:t xml:space="preserve"> Nov 2007</w:t>
    </w:r>
    <w:r>
      <w:rPr>
        <w:sz w:val="20"/>
        <w:szCs w:val="20"/>
      </w:rPr>
      <w:tab/>
    </w:r>
    <w:r>
      <w:rPr>
        <w:sz w:val="20"/>
        <w:szCs w:val="20"/>
      </w:rPr>
      <w:tab/>
    </w:r>
    <w:r w:rsidRPr="00643EA0">
      <w:rPr>
        <w:sz w:val="20"/>
        <w:szCs w:val="20"/>
      </w:rPr>
      <w:t xml:space="preserve">Page </w:t>
    </w:r>
    <w:r w:rsidRPr="00643EA0">
      <w:rPr>
        <w:sz w:val="20"/>
        <w:szCs w:val="20"/>
      </w:rPr>
      <w:fldChar w:fldCharType="begin"/>
    </w:r>
    <w:r w:rsidRPr="00643EA0">
      <w:rPr>
        <w:sz w:val="20"/>
        <w:szCs w:val="20"/>
      </w:rPr>
      <w:instrText xml:space="preserve"> PAGE </w:instrText>
    </w:r>
    <w:r w:rsidRPr="00643EA0">
      <w:rPr>
        <w:sz w:val="20"/>
        <w:szCs w:val="20"/>
      </w:rPr>
      <w:fldChar w:fldCharType="separate"/>
    </w:r>
    <w:r w:rsidR="008E479F">
      <w:rPr>
        <w:noProof/>
        <w:sz w:val="20"/>
        <w:szCs w:val="20"/>
      </w:rPr>
      <w:t>2</w:t>
    </w:r>
    <w:r w:rsidRPr="00643EA0">
      <w:rPr>
        <w:sz w:val="20"/>
        <w:szCs w:val="20"/>
      </w:rPr>
      <w:fldChar w:fldCharType="end"/>
    </w:r>
    <w:r w:rsidRPr="00643EA0">
      <w:rPr>
        <w:sz w:val="20"/>
        <w:szCs w:val="20"/>
      </w:rPr>
      <w:t xml:space="preserve"> of </w:t>
    </w:r>
    <w:r w:rsidRPr="00643EA0">
      <w:rPr>
        <w:sz w:val="20"/>
        <w:szCs w:val="20"/>
      </w:rPr>
      <w:fldChar w:fldCharType="begin"/>
    </w:r>
    <w:r w:rsidRPr="00643EA0">
      <w:rPr>
        <w:sz w:val="20"/>
        <w:szCs w:val="20"/>
      </w:rPr>
      <w:instrText xml:space="preserve"> NUMPAGES </w:instrText>
    </w:r>
    <w:r w:rsidRPr="00643EA0">
      <w:rPr>
        <w:sz w:val="20"/>
        <w:szCs w:val="20"/>
      </w:rPr>
      <w:fldChar w:fldCharType="separate"/>
    </w:r>
    <w:r w:rsidR="00177AD7">
      <w:rPr>
        <w:noProof/>
        <w:sz w:val="20"/>
        <w:szCs w:val="20"/>
      </w:rPr>
      <w:t>1</w:t>
    </w:r>
    <w:r w:rsidRPr="00643EA0">
      <w:rPr>
        <w:sz w:val="20"/>
        <w:szCs w:val="20"/>
      </w:rPr>
      <w:fldChar w:fldCharType="end"/>
    </w:r>
  </w:p>
  <w:p w14:paraId="3FAB1AE5" w14:textId="77777777" w:rsidR="00F538E6" w:rsidRDefault="00F538E6" w:rsidP="00B36313">
    <w:pPr>
      <w:pStyle w:val="Footer"/>
      <w:rPr>
        <w:sz w:val="16"/>
      </w:rPr>
    </w:pPr>
    <w:r w:rsidRPr="00643EA0">
      <w:rPr>
        <w:sz w:val="16"/>
      </w:rPr>
      <w:fldChar w:fldCharType="begin"/>
    </w:r>
    <w:r w:rsidRPr="00643EA0">
      <w:rPr>
        <w:sz w:val="16"/>
      </w:rPr>
      <w:instrText xml:space="preserve"> FILENAME \p </w:instrText>
    </w:r>
    <w:r w:rsidRPr="00643EA0">
      <w:rPr>
        <w:sz w:val="16"/>
      </w:rPr>
      <w:fldChar w:fldCharType="separate"/>
    </w:r>
    <w:r w:rsidR="00177AD7">
      <w:rPr>
        <w:noProof/>
        <w:sz w:val="16"/>
      </w:rPr>
      <w:t>X:\Kerri Dickman &amp; Co\QA Manual\9 Templates\Template - Logo.docx</w:t>
    </w:r>
    <w:r w:rsidRPr="00643EA0">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436F" w14:textId="77777777" w:rsidR="00F538E6" w:rsidRPr="00643EA0" w:rsidRDefault="00F538E6" w:rsidP="00B36313">
    <w:pPr>
      <w:pStyle w:val="Footer"/>
      <w:tabs>
        <w:tab w:val="clear" w:pos="8640"/>
        <w:tab w:val="right" w:pos="9072"/>
      </w:tabs>
      <w:rPr>
        <w:sz w:val="20"/>
        <w:szCs w:val="20"/>
      </w:rPr>
    </w:pPr>
    <w:r w:rsidRPr="00855897">
      <w:rPr>
        <w:b/>
        <w:sz w:val="20"/>
        <w:szCs w:val="20"/>
      </w:rPr>
      <w:t>Current At:</w:t>
    </w:r>
    <w:r>
      <w:rPr>
        <w:sz w:val="20"/>
        <w:szCs w:val="20"/>
      </w:rPr>
      <w:t xml:space="preserve"> Nov 2007</w:t>
    </w:r>
    <w:r>
      <w:rPr>
        <w:sz w:val="20"/>
        <w:szCs w:val="20"/>
      </w:rPr>
      <w:tab/>
    </w:r>
    <w:r>
      <w:rPr>
        <w:sz w:val="20"/>
        <w:szCs w:val="20"/>
      </w:rPr>
      <w:tab/>
    </w:r>
    <w:r w:rsidRPr="00643EA0">
      <w:rPr>
        <w:sz w:val="20"/>
        <w:szCs w:val="20"/>
      </w:rPr>
      <w:t xml:space="preserve">Page </w:t>
    </w:r>
    <w:r w:rsidRPr="00643EA0">
      <w:rPr>
        <w:sz w:val="20"/>
        <w:szCs w:val="20"/>
      </w:rPr>
      <w:fldChar w:fldCharType="begin"/>
    </w:r>
    <w:r w:rsidRPr="00643EA0">
      <w:rPr>
        <w:sz w:val="20"/>
        <w:szCs w:val="20"/>
      </w:rPr>
      <w:instrText xml:space="preserve"> PAGE </w:instrText>
    </w:r>
    <w:r w:rsidRPr="00643EA0">
      <w:rPr>
        <w:sz w:val="20"/>
        <w:szCs w:val="20"/>
      </w:rPr>
      <w:fldChar w:fldCharType="separate"/>
    </w:r>
    <w:r w:rsidR="00E04313">
      <w:rPr>
        <w:noProof/>
        <w:sz w:val="20"/>
        <w:szCs w:val="20"/>
      </w:rPr>
      <w:t>2</w:t>
    </w:r>
    <w:r w:rsidRPr="00643EA0">
      <w:rPr>
        <w:sz w:val="20"/>
        <w:szCs w:val="20"/>
      </w:rPr>
      <w:fldChar w:fldCharType="end"/>
    </w:r>
    <w:r w:rsidRPr="00643EA0">
      <w:rPr>
        <w:sz w:val="20"/>
        <w:szCs w:val="20"/>
      </w:rPr>
      <w:t xml:space="preserve"> of </w:t>
    </w:r>
    <w:r w:rsidRPr="00643EA0">
      <w:rPr>
        <w:sz w:val="20"/>
        <w:szCs w:val="20"/>
      </w:rPr>
      <w:fldChar w:fldCharType="begin"/>
    </w:r>
    <w:r w:rsidRPr="00643EA0">
      <w:rPr>
        <w:sz w:val="20"/>
        <w:szCs w:val="20"/>
      </w:rPr>
      <w:instrText xml:space="preserve"> NUMPAGES </w:instrText>
    </w:r>
    <w:r w:rsidRPr="00643EA0">
      <w:rPr>
        <w:sz w:val="20"/>
        <w:szCs w:val="20"/>
      </w:rPr>
      <w:fldChar w:fldCharType="separate"/>
    </w:r>
    <w:r w:rsidR="00177AD7">
      <w:rPr>
        <w:noProof/>
        <w:sz w:val="20"/>
        <w:szCs w:val="20"/>
      </w:rPr>
      <w:t>1</w:t>
    </w:r>
    <w:r w:rsidRPr="00643EA0">
      <w:rPr>
        <w:sz w:val="20"/>
        <w:szCs w:val="20"/>
      </w:rPr>
      <w:fldChar w:fldCharType="end"/>
    </w:r>
  </w:p>
  <w:p w14:paraId="4FC5D8A2" w14:textId="77777777" w:rsidR="00F538E6" w:rsidRDefault="00F538E6" w:rsidP="00B36313">
    <w:pPr>
      <w:pStyle w:val="Footer"/>
      <w:rPr>
        <w:sz w:val="16"/>
      </w:rPr>
    </w:pPr>
    <w:r w:rsidRPr="00643EA0">
      <w:rPr>
        <w:sz w:val="16"/>
      </w:rPr>
      <w:fldChar w:fldCharType="begin"/>
    </w:r>
    <w:r w:rsidRPr="00643EA0">
      <w:rPr>
        <w:sz w:val="16"/>
      </w:rPr>
      <w:instrText xml:space="preserve"> FILENAME \p </w:instrText>
    </w:r>
    <w:r w:rsidRPr="00643EA0">
      <w:rPr>
        <w:sz w:val="16"/>
      </w:rPr>
      <w:fldChar w:fldCharType="separate"/>
    </w:r>
    <w:r w:rsidR="00177AD7">
      <w:rPr>
        <w:noProof/>
        <w:sz w:val="16"/>
      </w:rPr>
      <w:t>X:\Kerri Dickman &amp; Co\QA Manual\9 Templates\Template - Logo.docx</w:t>
    </w:r>
    <w:r w:rsidRPr="00643EA0">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32D7" w14:textId="77777777" w:rsidR="008775C2" w:rsidRPr="00B51ABD" w:rsidRDefault="00B51ABD">
    <w:pPr>
      <w:pStyle w:val="Footer"/>
      <w:rPr>
        <w:sz w:val="20"/>
      </w:rPr>
    </w:pPr>
    <w:r w:rsidRPr="00B51ABD">
      <w:rPr>
        <w:sz w:val="20"/>
      </w:rPr>
      <w:fldChar w:fldCharType="begin"/>
    </w:r>
    <w:r w:rsidRPr="00B51ABD">
      <w:rPr>
        <w:sz w:val="20"/>
      </w:rPr>
      <w:instrText xml:space="preserve"> FILENAME  \p  \* MERGEFORMAT </w:instrText>
    </w:r>
    <w:r w:rsidRPr="00B51ABD">
      <w:rPr>
        <w:sz w:val="20"/>
      </w:rPr>
      <w:fldChar w:fldCharType="separate"/>
    </w:r>
    <w:r w:rsidR="00177AD7">
      <w:rPr>
        <w:noProof/>
        <w:sz w:val="20"/>
      </w:rPr>
      <w:t>X:\Kerri Dickman &amp; Co\QA Manual\9 Templates\Template - Logo.docx</w:t>
    </w:r>
    <w:r w:rsidRPr="00B51ABD">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66699" w14:textId="77777777" w:rsidR="001E2871" w:rsidRDefault="001E2871">
      <w:r>
        <w:separator/>
      </w:r>
    </w:p>
  </w:footnote>
  <w:footnote w:type="continuationSeparator" w:id="0">
    <w:p w14:paraId="3A656B29" w14:textId="77777777" w:rsidR="001E2871" w:rsidRDefault="001E2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8CDE" w14:textId="77777777" w:rsidR="00925AFA" w:rsidRDefault="00EB407B" w:rsidP="00925AFA">
    <w:pPr>
      <w:ind w:firstLine="720"/>
    </w:pPr>
    <w:r>
      <w:rPr>
        <w:rFonts w:asciiTheme="minorHAnsi" w:hAnsiTheme="minorHAnsi" w:cstheme="minorHAnsi"/>
        <w:b/>
        <w:noProof/>
        <w:sz w:val="40"/>
      </w:rPr>
      <w:drawing>
        <wp:anchor distT="0" distB="0" distL="114300" distR="114300" simplePos="0" relativeHeight="251658240" behindDoc="0" locked="0" layoutInCell="1" allowOverlap="1" wp14:anchorId="06840EF9" wp14:editId="4F54C506">
          <wp:simplePos x="0" y="0"/>
          <wp:positionH relativeFrom="column">
            <wp:posOffset>-637540</wp:posOffset>
          </wp:positionH>
          <wp:positionV relativeFrom="paragraph">
            <wp:posOffset>30547</wp:posOffset>
          </wp:positionV>
          <wp:extent cx="2165350" cy="1082675"/>
          <wp:effectExtent l="0" t="0" r="635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C Accounting LOGO- COLOU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5350" cy="1082675"/>
                  </a:xfrm>
                  <a:prstGeom prst="rect">
                    <a:avLst/>
                  </a:prstGeom>
                </pic:spPr>
              </pic:pic>
            </a:graphicData>
          </a:graphic>
          <wp14:sizeRelH relativeFrom="page">
            <wp14:pctWidth>0</wp14:pctWidth>
          </wp14:sizeRelH>
          <wp14:sizeRelV relativeFrom="page">
            <wp14:pctHeight>0</wp14:pctHeight>
          </wp14:sizeRelV>
        </wp:anchor>
      </w:drawing>
    </w:r>
  </w:p>
  <w:p w14:paraId="3AB12CCF" w14:textId="2DF2600C" w:rsidR="00E50658" w:rsidRDefault="00EB407B" w:rsidP="00E50658">
    <w:pPr>
      <w:pStyle w:val="Heading1"/>
      <w:tabs>
        <w:tab w:val="left" w:pos="195"/>
        <w:tab w:val="right" w:pos="10182"/>
      </w:tabs>
      <w:jc w:val="right"/>
      <w:rPr>
        <w:rFonts w:asciiTheme="minorHAnsi" w:hAnsiTheme="minorHAnsi" w:cstheme="minorHAnsi"/>
        <w:b/>
        <w:sz w:val="40"/>
      </w:rPr>
    </w:pPr>
    <w:r>
      <w:rPr>
        <w:rFonts w:asciiTheme="minorHAnsi" w:hAnsiTheme="minorHAnsi" w:cstheme="minorHAnsi"/>
        <w:b/>
        <w:sz w:val="40"/>
      </w:rPr>
      <w:tab/>
    </w:r>
    <w:r w:rsidR="00CA5148">
      <w:rPr>
        <w:rFonts w:asciiTheme="minorHAnsi" w:hAnsiTheme="minorHAnsi" w:cstheme="minorHAnsi"/>
        <w:b/>
        <w:sz w:val="40"/>
      </w:rPr>
      <w:t>Lockdown – what do I do</w:t>
    </w:r>
    <w:r w:rsidR="00E97D6F">
      <w:rPr>
        <w:rFonts w:asciiTheme="minorHAnsi" w:hAnsiTheme="minorHAnsi" w:cstheme="minorHAnsi"/>
        <w:b/>
        <w:sz w:val="40"/>
      </w:rPr>
      <w:t xml:space="preserve"> for my employees</w:t>
    </w:r>
    <w:r w:rsidR="00CA5148">
      <w:rPr>
        <w:rFonts w:asciiTheme="minorHAnsi" w:hAnsiTheme="minorHAnsi" w:cstheme="minorHAnsi"/>
        <w:b/>
        <w:sz w:val="40"/>
      </w:rPr>
      <w:t>?</w:t>
    </w:r>
  </w:p>
  <w:p w14:paraId="473A01FA" w14:textId="76B67B05" w:rsidR="00CA5148" w:rsidRPr="00CA5148" w:rsidRDefault="00CA5148" w:rsidP="00E97D6F">
    <w:pPr>
      <w:jc w:val="right"/>
      <w:rPr>
        <w:rFonts w:asciiTheme="minorHAnsi" w:hAnsiTheme="minorHAnsi" w:cstheme="minorHAnsi"/>
        <w:b/>
        <w:bCs/>
        <w:kern w:val="32"/>
        <w:sz w:val="40"/>
        <w:szCs w:val="32"/>
      </w:rPr>
    </w:pPr>
    <w:r w:rsidRPr="00CA5148">
      <w:rPr>
        <w:rFonts w:asciiTheme="minorHAnsi" w:hAnsiTheme="minorHAnsi" w:cstheme="minorHAnsi"/>
        <w:b/>
        <w:bCs/>
        <w:kern w:val="32"/>
        <w:sz w:val="40"/>
        <w:szCs w:val="32"/>
      </w:rPr>
      <w:t>Employer</w:t>
    </w:r>
    <w:r w:rsidR="00E97D6F">
      <w:rPr>
        <w:rFonts w:asciiTheme="minorHAnsi" w:hAnsiTheme="minorHAnsi" w:cstheme="minorHAnsi"/>
        <w:b/>
        <w:bCs/>
        <w:kern w:val="32"/>
        <w:sz w:val="40"/>
        <w:szCs w:val="32"/>
      </w:rPr>
      <w:t xml:space="preserve"> </w:t>
    </w:r>
    <w:r w:rsidRPr="00CA5148">
      <w:rPr>
        <w:rFonts w:asciiTheme="minorHAnsi" w:hAnsiTheme="minorHAnsi" w:cstheme="minorHAnsi"/>
        <w:b/>
        <w:bCs/>
        <w:kern w:val="32"/>
        <w:sz w:val="40"/>
        <w:szCs w:val="32"/>
      </w:rPr>
      <w:t>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0A98"/>
    <w:multiLevelType w:val="hybridMultilevel"/>
    <w:tmpl w:val="384E6EAC"/>
    <w:lvl w:ilvl="0" w:tplc="7418348A">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083129"/>
    <w:multiLevelType w:val="hybridMultilevel"/>
    <w:tmpl w:val="DFD48D34"/>
    <w:lvl w:ilvl="0" w:tplc="961667C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A0B55C2"/>
    <w:multiLevelType w:val="hybridMultilevel"/>
    <w:tmpl w:val="93D4D9B6"/>
    <w:lvl w:ilvl="0" w:tplc="7418348A">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F452AE"/>
    <w:multiLevelType w:val="hybridMultilevel"/>
    <w:tmpl w:val="68D65E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235EEA"/>
    <w:multiLevelType w:val="multilevel"/>
    <w:tmpl w:val="03960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92E95"/>
    <w:multiLevelType w:val="hybridMultilevel"/>
    <w:tmpl w:val="CE08B5E8"/>
    <w:lvl w:ilvl="0" w:tplc="B2DE8346">
      <w:start w:val="1"/>
      <w:numFmt w:val="bullet"/>
      <w:lvlText w:val="&gt;"/>
      <w:lvlJc w:val="left"/>
      <w:pPr>
        <w:ind w:left="786" w:hanging="360"/>
      </w:pPr>
      <w:rPr>
        <w:rFonts w:ascii="Courier New" w:hAnsi="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6" w15:restartNumberingAfterBreak="0">
    <w:nsid w:val="451621D3"/>
    <w:multiLevelType w:val="hybridMultilevel"/>
    <w:tmpl w:val="8272B222"/>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4FA6689E"/>
    <w:multiLevelType w:val="hybridMultilevel"/>
    <w:tmpl w:val="72E67F4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836653A"/>
    <w:multiLevelType w:val="multilevel"/>
    <w:tmpl w:val="6366B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D15DBB"/>
    <w:multiLevelType w:val="hybridMultilevel"/>
    <w:tmpl w:val="D02003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644405"/>
    <w:multiLevelType w:val="hybridMultilevel"/>
    <w:tmpl w:val="92F06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7C5B21"/>
    <w:multiLevelType w:val="hybridMultilevel"/>
    <w:tmpl w:val="68028284"/>
    <w:lvl w:ilvl="0" w:tplc="271E125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641309"/>
    <w:multiLevelType w:val="hybridMultilevel"/>
    <w:tmpl w:val="3E50D37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1F779DF"/>
    <w:multiLevelType w:val="hybridMultilevel"/>
    <w:tmpl w:val="89C03016"/>
    <w:lvl w:ilvl="0" w:tplc="B2DE8346">
      <w:start w:val="1"/>
      <w:numFmt w:val="bullet"/>
      <w:lvlText w:val="&gt;"/>
      <w:lvlJc w:val="left"/>
      <w:pPr>
        <w:ind w:left="786" w:hanging="360"/>
      </w:pPr>
      <w:rPr>
        <w:rFonts w:ascii="Courier New" w:hAnsi="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69507F64"/>
    <w:multiLevelType w:val="hybridMultilevel"/>
    <w:tmpl w:val="8CC4E628"/>
    <w:lvl w:ilvl="0" w:tplc="57884D6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10F09B9"/>
    <w:multiLevelType w:val="hybridMultilevel"/>
    <w:tmpl w:val="CBE83254"/>
    <w:lvl w:ilvl="0" w:tplc="B48626A0">
      <w:start w:val="1"/>
      <w:numFmt w:val="decimal"/>
      <w:lvlText w:val="%1"/>
      <w:lvlJc w:val="left"/>
      <w:pPr>
        <w:ind w:left="930" w:hanging="57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7037947"/>
    <w:multiLevelType w:val="hybridMultilevel"/>
    <w:tmpl w:val="8954EED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3"/>
  </w:num>
  <w:num w:numId="4">
    <w:abstractNumId w:val="2"/>
  </w:num>
  <w:num w:numId="5">
    <w:abstractNumId w:val="14"/>
  </w:num>
  <w:num w:numId="6">
    <w:abstractNumId w:val="1"/>
  </w:num>
  <w:num w:numId="7">
    <w:abstractNumId w:val="0"/>
  </w:num>
  <w:num w:numId="8">
    <w:abstractNumId w:val="16"/>
  </w:num>
  <w:num w:numId="9">
    <w:abstractNumId w:val="6"/>
  </w:num>
  <w:num w:numId="10">
    <w:abstractNumId w:val="7"/>
  </w:num>
  <w:num w:numId="11">
    <w:abstractNumId w:val="12"/>
  </w:num>
  <w:num w:numId="12">
    <w:abstractNumId w:val="9"/>
  </w:num>
  <w:num w:numId="13">
    <w:abstractNumId w:val="10"/>
  </w:num>
  <w:num w:numId="14">
    <w:abstractNumId w:val="11"/>
  </w:num>
  <w:num w:numId="15">
    <w:abstractNumId w:val="5"/>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K0sLAwMzY1N7CwMDdQ0lEKTi0uzszPAykwqQUAFmlBWywAAAA="/>
  </w:docVars>
  <w:rsids>
    <w:rsidRoot w:val="00FB4004"/>
    <w:rsid w:val="000611B2"/>
    <w:rsid w:val="0006405B"/>
    <w:rsid w:val="00076F4E"/>
    <w:rsid w:val="000C54C1"/>
    <w:rsid w:val="000F63B1"/>
    <w:rsid w:val="00177AD7"/>
    <w:rsid w:val="001A3B57"/>
    <w:rsid w:val="001D3F8B"/>
    <w:rsid w:val="001D7591"/>
    <w:rsid w:val="001E05FB"/>
    <w:rsid w:val="001E2871"/>
    <w:rsid w:val="001E6CB0"/>
    <w:rsid w:val="001F115B"/>
    <w:rsid w:val="002016D6"/>
    <w:rsid w:val="00226EA4"/>
    <w:rsid w:val="002451D7"/>
    <w:rsid w:val="00252809"/>
    <w:rsid w:val="002667CF"/>
    <w:rsid w:val="002A728A"/>
    <w:rsid w:val="002A7A1E"/>
    <w:rsid w:val="00316532"/>
    <w:rsid w:val="00354D29"/>
    <w:rsid w:val="0036782A"/>
    <w:rsid w:val="00367F95"/>
    <w:rsid w:val="00375AEA"/>
    <w:rsid w:val="00396372"/>
    <w:rsid w:val="003E4165"/>
    <w:rsid w:val="003E4374"/>
    <w:rsid w:val="003E482B"/>
    <w:rsid w:val="003E640D"/>
    <w:rsid w:val="00404233"/>
    <w:rsid w:val="00471208"/>
    <w:rsid w:val="004D5B40"/>
    <w:rsid w:val="004E48AF"/>
    <w:rsid w:val="005152D7"/>
    <w:rsid w:val="00516F89"/>
    <w:rsid w:val="00532476"/>
    <w:rsid w:val="00563D86"/>
    <w:rsid w:val="00592DA0"/>
    <w:rsid w:val="00676FB0"/>
    <w:rsid w:val="006B2612"/>
    <w:rsid w:val="006B352C"/>
    <w:rsid w:val="006D474F"/>
    <w:rsid w:val="006E5551"/>
    <w:rsid w:val="006F74D4"/>
    <w:rsid w:val="00785928"/>
    <w:rsid w:val="007D4AC5"/>
    <w:rsid w:val="007F644E"/>
    <w:rsid w:val="00813692"/>
    <w:rsid w:val="008350D3"/>
    <w:rsid w:val="00843345"/>
    <w:rsid w:val="00873016"/>
    <w:rsid w:val="008775C2"/>
    <w:rsid w:val="008D629C"/>
    <w:rsid w:val="008D6B7B"/>
    <w:rsid w:val="008E479F"/>
    <w:rsid w:val="008F312A"/>
    <w:rsid w:val="00925AFA"/>
    <w:rsid w:val="0097011C"/>
    <w:rsid w:val="00976D9C"/>
    <w:rsid w:val="009A2266"/>
    <w:rsid w:val="009D6E5B"/>
    <w:rsid w:val="00A11868"/>
    <w:rsid w:val="00A20367"/>
    <w:rsid w:val="00A30A43"/>
    <w:rsid w:val="00A9065A"/>
    <w:rsid w:val="00A90893"/>
    <w:rsid w:val="00AD2DD6"/>
    <w:rsid w:val="00AE3F4A"/>
    <w:rsid w:val="00AF1EBA"/>
    <w:rsid w:val="00B36313"/>
    <w:rsid w:val="00B464AB"/>
    <w:rsid w:val="00B51ABD"/>
    <w:rsid w:val="00B74E72"/>
    <w:rsid w:val="00BA3806"/>
    <w:rsid w:val="00BC06C9"/>
    <w:rsid w:val="00C50923"/>
    <w:rsid w:val="00C52F5D"/>
    <w:rsid w:val="00C7464F"/>
    <w:rsid w:val="00C83070"/>
    <w:rsid w:val="00C94F99"/>
    <w:rsid w:val="00CA5148"/>
    <w:rsid w:val="00D071D7"/>
    <w:rsid w:val="00D11846"/>
    <w:rsid w:val="00D1351C"/>
    <w:rsid w:val="00D1560C"/>
    <w:rsid w:val="00D21621"/>
    <w:rsid w:val="00D2773E"/>
    <w:rsid w:val="00D81318"/>
    <w:rsid w:val="00DB7948"/>
    <w:rsid w:val="00DC3BD1"/>
    <w:rsid w:val="00DF51BA"/>
    <w:rsid w:val="00E04313"/>
    <w:rsid w:val="00E16D18"/>
    <w:rsid w:val="00E341F9"/>
    <w:rsid w:val="00E50658"/>
    <w:rsid w:val="00E9668D"/>
    <w:rsid w:val="00E97D6F"/>
    <w:rsid w:val="00EB407B"/>
    <w:rsid w:val="00EC4DA1"/>
    <w:rsid w:val="00F03628"/>
    <w:rsid w:val="00F538E6"/>
    <w:rsid w:val="00F57D4D"/>
    <w:rsid w:val="00F71577"/>
    <w:rsid w:val="00FA4A37"/>
    <w:rsid w:val="00FB4004"/>
    <w:rsid w:val="00FC1624"/>
    <w:rsid w:val="00FD4C1C"/>
    <w:rsid w:val="00FE18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6F46262"/>
  <w15:docId w15:val="{35469117-5281-4BE7-9DD1-86781369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F644E"/>
    <w:pPr>
      <w:keepNext/>
      <w:spacing w:before="480" w:after="120"/>
      <w:jc w:val="both"/>
      <w:outlineLvl w:val="0"/>
    </w:pPr>
    <w:rPr>
      <w:rFonts w:ascii="Tahoma" w:hAnsi="Tahoma" w:cs="Tahoma"/>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7F644E"/>
    <w:pPr>
      <w:spacing w:before="120" w:after="120"/>
    </w:pPr>
    <w:rPr>
      <w:rFonts w:ascii="Tahoma" w:hAnsi="Tahoma" w:cs="Tahoma"/>
      <w:lang w:eastAsia="en-US"/>
    </w:rPr>
  </w:style>
  <w:style w:type="paragraph" w:styleId="Header">
    <w:name w:val="header"/>
    <w:basedOn w:val="Normal"/>
    <w:rsid w:val="007F644E"/>
    <w:pPr>
      <w:tabs>
        <w:tab w:val="center" w:pos="4320"/>
        <w:tab w:val="right" w:pos="8640"/>
      </w:tabs>
    </w:pPr>
  </w:style>
  <w:style w:type="paragraph" w:styleId="Footer">
    <w:name w:val="footer"/>
    <w:basedOn w:val="Normal"/>
    <w:rsid w:val="007F644E"/>
    <w:pPr>
      <w:tabs>
        <w:tab w:val="center" w:pos="4320"/>
        <w:tab w:val="right" w:pos="8640"/>
      </w:tabs>
    </w:pPr>
  </w:style>
  <w:style w:type="table" w:styleId="TableGrid">
    <w:name w:val="Table Grid"/>
    <w:basedOn w:val="TableNormal"/>
    <w:rsid w:val="00A20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16F89"/>
    <w:rPr>
      <w:rFonts w:ascii="Tahoma" w:hAnsi="Tahoma" w:cs="Tahoma"/>
      <w:sz w:val="16"/>
      <w:szCs w:val="16"/>
    </w:rPr>
  </w:style>
  <w:style w:type="paragraph" w:customStyle="1" w:styleId="bodytext">
    <w:name w:val="bodytext"/>
    <w:basedOn w:val="Normal"/>
    <w:rsid w:val="00BA3806"/>
    <w:pPr>
      <w:spacing w:after="75" w:line="270" w:lineRule="atLeast"/>
      <w:jc w:val="both"/>
    </w:pPr>
    <w:rPr>
      <w:rFonts w:ascii="Arial" w:hAnsi="Arial" w:cs="Arial"/>
      <w:color w:val="000080"/>
      <w:sz w:val="21"/>
      <w:szCs w:val="21"/>
    </w:rPr>
  </w:style>
  <w:style w:type="paragraph" w:styleId="NormalWeb">
    <w:name w:val="Normal (Web)"/>
    <w:basedOn w:val="Normal"/>
    <w:uiPriority w:val="99"/>
    <w:unhideWhenUsed/>
    <w:rsid w:val="002016D6"/>
    <w:pPr>
      <w:spacing w:before="100" w:beforeAutospacing="1" w:after="100" w:afterAutospacing="1"/>
    </w:pPr>
  </w:style>
  <w:style w:type="character" w:styleId="Strong">
    <w:name w:val="Strong"/>
    <w:basedOn w:val="DefaultParagraphFont"/>
    <w:uiPriority w:val="22"/>
    <w:qFormat/>
    <w:rsid w:val="002016D6"/>
    <w:rPr>
      <w:b/>
      <w:bCs/>
    </w:rPr>
  </w:style>
  <w:style w:type="paragraph" w:customStyle="1" w:styleId="CPANormal">
    <w:name w:val="CPA Normal"/>
    <w:basedOn w:val="Normal"/>
    <w:rsid w:val="000F63B1"/>
    <w:pPr>
      <w:spacing w:line="280" w:lineRule="exact"/>
      <w:jc w:val="both"/>
    </w:pPr>
    <w:rPr>
      <w:rFonts w:ascii="Arial" w:hAnsi="Arial"/>
      <w:sz w:val="20"/>
      <w:lang w:eastAsia="en-US"/>
    </w:rPr>
  </w:style>
  <w:style w:type="paragraph" w:styleId="ListParagraph">
    <w:name w:val="List Paragraph"/>
    <w:basedOn w:val="Normal"/>
    <w:uiPriority w:val="34"/>
    <w:qFormat/>
    <w:rsid w:val="001D3F8B"/>
    <w:pPr>
      <w:ind w:left="720"/>
      <w:contextualSpacing/>
    </w:pPr>
  </w:style>
  <w:style w:type="character" w:customStyle="1" w:styleId="texhtml">
    <w:name w:val="texhtml"/>
    <w:basedOn w:val="DefaultParagraphFont"/>
    <w:rsid w:val="000611B2"/>
    <w:rPr>
      <w:rFonts w:ascii="Times New Roman" w:hAnsi="Times New Roman" w:cs="Times New Roman" w:hint="default"/>
      <w:sz w:val="28"/>
      <w:szCs w:val="28"/>
    </w:rPr>
  </w:style>
  <w:style w:type="character" w:styleId="Hyperlink">
    <w:name w:val="Hyperlink"/>
    <w:basedOn w:val="DefaultParagraphFont"/>
    <w:unhideWhenUsed/>
    <w:rsid w:val="00E16D18"/>
    <w:rPr>
      <w:color w:val="0000FF" w:themeColor="hyperlink"/>
      <w:u w:val="single"/>
    </w:rPr>
  </w:style>
  <w:style w:type="character" w:styleId="UnresolvedMention">
    <w:name w:val="Unresolved Mention"/>
    <w:basedOn w:val="DefaultParagraphFont"/>
    <w:uiPriority w:val="99"/>
    <w:semiHidden/>
    <w:unhideWhenUsed/>
    <w:rsid w:val="00E16D18"/>
    <w:rPr>
      <w:color w:val="605E5C"/>
      <w:shd w:val="clear" w:color="auto" w:fill="E1DFDD"/>
    </w:rPr>
  </w:style>
  <w:style w:type="character" w:styleId="FollowedHyperlink">
    <w:name w:val="FollowedHyperlink"/>
    <w:basedOn w:val="DefaultParagraphFont"/>
    <w:semiHidden/>
    <w:unhideWhenUsed/>
    <w:rsid w:val="00E16D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9787">
      <w:bodyDiv w:val="1"/>
      <w:marLeft w:val="0"/>
      <w:marRight w:val="0"/>
      <w:marTop w:val="0"/>
      <w:marBottom w:val="0"/>
      <w:divBdr>
        <w:top w:val="none" w:sz="0" w:space="0" w:color="auto"/>
        <w:left w:val="none" w:sz="0" w:space="0" w:color="auto"/>
        <w:bottom w:val="none" w:sz="0" w:space="0" w:color="auto"/>
        <w:right w:val="none" w:sz="0" w:space="0" w:color="auto"/>
      </w:divBdr>
      <w:divsChild>
        <w:div w:id="931278911">
          <w:marLeft w:val="0"/>
          <w:marRight w:val="0"/>
          <w:marTop w:val="0"/>
          <w:marBottom w:val="0"/>
          <w:divBdr>
            <w:top w:val="none" w:sz="0" w:space="0" w:color="auto"/>
            <w:left w:val="none" w:sz="0" w:space="0" w:color="auto"/>
            <w:bottom w:val="none" w:sz="0" w:space="0" w:color="auto"/>
            <w:right w:val="none" w:sz="0" w:space="0" w:color="auto"/>
          </w:divBdr>
          <w:divsChild>
            <w:div w:id="151336972">
              <w:marLeft w:val="0"/>
              <w:marRight w:val="0"/>
              <w:marTop w:val="0"/>
              <w:marBottom w:val="0"/>
              <w:divBdr>
                <w:top w:val="none" w:sz="0" w:space="0" w:color="auto"/>
                <w:left w:val="none" w:sz="0" w:space="0" w:color="auto"/>
                <w:bottom w:val="none" w:sz="0" w:space="0" w:color="auto"/>
                <w:right w:val="none" w:sz="0" w:space="0" w:color="auto"/>
              </w:divBdr>
              <w:divsChild>
                <w:div w:id="620114764">
                  <w:marLeft w:val="0"/>
                  <w:marRight w:val="0"/>
                  <w:marTop w:val="0"/>
                  <w:marBottom w:val="0"/>
                  <w:divBdr>
                    <w:top w:val="none" w:sz="0" w:space="0" w:color="auto"/>
                    <w:left w:val="none" w:sz="0" w:space="0" w:color="auto"/>
                    <w:bottom w:val="none" w:sz="0" w:space="0" w:color="auto"/>
                    <w:right w:val="none" w:sz="0" w:space="0" w:color="auto"/>
                  </w:divBdr>
                  <w:divsChild>
                    <w:div w:id="229775743">
                      <w:marLeft w:val="0"/>
                      <w:marRight w:val="0"/>
                      <w:marTop w:val="0"/>
                      <w:marBottom w:val="0"/>
                      <w:divBdr>
                        <w:top w:val="none" w:sz="0" w:space="0" w:color="auto"/>
                        <w:left w:val="none" w:sz="0" w:space="0" w:color="auto"/>
                        <w:bottom w:val="none" w:sz="0" w:space="0" w:color="auto"/>
                        <w:right w:val="none" w:sz="0" w:space="0" w:color="auto"/>
                      </w:divBdr>
                      <w:divsChild>
                        <w:div w:id="819736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4763080">
      <w:bodyDiv w:val="1"/>
      <w:marLeft w:val="0"/>
      <w:marRight w:val="0"/>
      <w:marTop w:val="0"/>
      <w:marBottom w:val="0"/>
      <w:divBdr>
        <w:top w:val="none" w:sz="0" w:space="0" w:color="auto"/>
        <w:left w:val="none" w:sz="0" w:space="0" w:color="auto"/>
        <w:bottom w:val="none" w:sz="0" w:space="0" w:color="auto"/>
        <w:right w:val="none" w:sz="0" w:space="0" w:color="auto"/>
      </w:divBdr>
      <w:divsChild>
        <w:div w:id="1617757791">
          <w:marLeft w:val="0"/>
          <w:marRight w:val="0"/>
          <w:marTop w:val="0"/>
          <w:marBottom w:val="0"/>
          <w:divBdr>
            <w:top w:val="none" w:sz="0" w:space="0" w:color="auto"/>
            <w:left w:val="none" w:sz="0" w:space="0" w:color="auto"/>
            <w:bottom w:val="none" w:sz="0" w:space="0" w:color="auto"/>
            <w:right w:val="none" w:sz="0" w:space="0" w:color="auto"/>
          </w:divBdr>
          <w:divsChild>
            <w:div w:id="240139017">
              <w:marLeft w:val="0"/>
              <w:marRight w:val="0"/>
              <w:marTop w:val="0"/>
              <w:marBottom w:val="0"/>
              <w:divBdr>
                <w:top w:val="none" w:sz="0" w:space="0" w:color="auto"/>
                <w:left w:val="none" w:sz="0" w:space="0" w:color="auto"/>
                <w:bottom w:val="none" w:sz="0" w:space="0" w:color="auto"/>
                <w:right w:val="none" w:sz="0" w:space="0" w:color="auto"/>
              </w:divBdr>
              <w:divsChild>
                <w:div w:id="124591910">
                  <w:marLeft w:val="0"/>
                  <w:marRight w:val="0"/>
                  <w:marTop w:val="0"/>
                  <w:marBottom w:val="0"/>
                  <w:divBdr>
                    <w:top w:val="none" w:sz="0" w:space="0" w:color="auto"/>
                    <w:left w:val="none" w:sz="0" w:space="0" w:color="auto"/>
                    <w:bottom w:val="none" w:sz="0" w:space="0" w:color="auto"/>
                    <w:right w:val="none" w:sz="0" w:space="0" w:color="auto"/>
                  </w:divBdr>
                  <w:divsChild>
                    <w:div w:id="960261708">
                      <w:marLeft w:val="0"/>
                      <w:marRight w:val="0"/>
                      <w:marTop w:val="0"/>
                      <w:marBottom w:val="0"/>
                      <w:divBdr>
                        <w:top w:val="none" w:sz="0" w:space="0" w:color="auto"/>
                        <w:left w:val="none" w:sz="0" w:space="0" w:color="auto"/>
                        <w:bottom w:val="none" w:sz="0" w:space="0" w:color="auto"/>
                        <w:right w:val="none" w:sz="0" w:space="0" w:color="auto"/>
                      </w:divBdr>
                      <w:divsChild>
                        <w:div w:id="9721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1025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onavirus.fairwork.gov.au/coronavirus-and-australian-workplace-laws/pay-leave-and-stand-downs/stand-downs#before-standing-down-employees-checkli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A0409-304C-485E-9BF4-65D6E65E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458</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 Data</dc:creator>
  <cp:lastModifiedBy>Kerri Selby FCPA</cp:lastModifiedBy>
  <cp:revision>6</cp:revision>
  <cp:lastPrinted>2017-10-09T07:09:00Z</cp:lastPrinted>
  <dcterms:created xsi:type="dcterms:W3CDTF">2021-08-21T05:28:00Z</dcterms:created>
  <dcterms:modified xsi:type="dcterms:W3CDTF">2021-08-21T07:03:00Z</dcterms:modified>
</cp:coreProperties>
</file>