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82" w:rsidRDefault="00977C9A"/>
    <w:p w:rsidR="00977C9A" w:rsidRDefault="00977C9A"/>
    <w:p w:rsidR="00977C9A" w:rsidRDefault="00977C9A"/>
    <w:p w:rsidR="00977C9A" w:rsidRDefault="00977C9A"/>
    <w:p w:rsidR="00977C9A" w:rsidRDefault="00977C9A"/>
    <w:p w:rsidR="00977C9A" w:rsidRDefault="00977C9A"/>
    <w:p w:rsidR="00977C9A" w:rsidRPr="00F20350" w:rsidRDefault="00977C9A" w:rsidP="00977C9A">
      <w:pPr>
        <w:spacing w:after="0" w:line="240" w:lineRule="auto"/>
        <w:textAlignment w:val="baseline"/>
        <w:rPr>
          <w:rFonts w:ascii="Segoe UI" w:eastAsia="Times New Roman" w:hAnsi="Segoe UI" w:cs="Segoe UI"/>
          <w:color w:val="2F5496"/>
          <w:sz w:val="18"/>
          <w:szCs w:val="18"/>
          <w:lang w:eastAsia="en-AU"/>
        </w:rPr>
      </w:pPr>
      <w:r w:rsidRPr="00F20350">
        <w:rPr>
          <w:rFonts w:ascii="Calibri Light" w:eastAsia="Times New Roman" w:hAnsi="Calibri Light" w:cs="Segoe UI"/>
          <w:color w:val="7F7F7F"/>
          <w:sz w:val="36"/>
          <w:szCs w:val="36"/>
          <w:lang w:val="en-GB" w:eastAsia="en-AU"/>
        </w:rPr>
        <w:t>Single touch payroll extended to all employers</w:t>
      </w:r>
      <w:r w:rsidRPr="00F20350">
        <w:rPr>
          <w:rFonts w:ascii="Calibri Light" w:eastAsia="Times New Roman" w:hAnsi="Calibri Light" w:cs="Segoe UI"/>
          <w:color w:val="2F5496"/>
          <w:sz w:val="36"/>
          <w:szCs w:val="36"/>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From 1 July 2019, single touch payroll – the direct reporting of salary and wages, PAYG withholding and superannuation contribution information to the ATO – will apply to all employers. What employers need to report will also be extended to include certain salary sacrificed amounts.</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eastAsia="en-AU"/>
        </w:rPr>
        <w:t> </w:t>
      </w:r>
      <w:r w:rsidRPr="00F20350">
        <w:rPr>
          <w:rFonts w:ascii="Calibri" w:eastAsia="Times New Roman" w:hAnsi="Calibri" w:cs="Segoe UI"/>
          <w:lang w:eastAsia="en-AU"/>
        </w:rPr>
        <w:b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Employers with 20 or more employees have been required to use single touch payroll since 1 July 2018. The new rules push all businesses with employees into the single touch payroll system. This includes the situation where payments are made to the owners of the business in the form of salary, wages or directors fees.</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eastAsia="en-AU"/>
        </w:rPr>
        <w:t> </w:t>
      </w:r>
      <w:r w:rsidRPr="00F20350">
        <w:rPr>
          <w:rFonts w:ascii="Calibri" w:eastAsia="Times New Roman" w:hAnsi="Calibri" w:cs="Segoe UI"/>
          <w:lang w:eastAsia="en-AU"/>
        </w:rPr>
        <w:b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The ATO has asked software providers to provide new low cost payroll options for micro employers (1-4 employees). </w:t>
      </w:r>
      <w:hyperlink r:id="rId6" w:tgtFrame="_blank" w:history="1">
        <w:r w:rsidRPr="00F20350">
          <w:rPr>
            <w:rFonts w:ascii="Calibri" w:eastAsia="Times New Roman" w:hAnsi="Calibri" w:cs="Segoe UI"/>
            <w:color w:val="0563C1"/>
            <w:u w:val="single"/>
            <w:lang w:val="en-GB" w:eastAsia="en-AU"/>
          </w:rPr>
          <w:t>MYOB</w:t>
        </w:r>
      </w:hyperlink>
      <w:r w:rsidRPr="00F20350">
        <w:rPr>
          <w:rFonts w:ascii="Calibri" w:eastAsia="Times New Roman" w:hAnsi="Calibri" w:cs="Segoe UI"/>
          <w:lang w:val="en-GB" w:eastAsia="en-AU"/>
        </w:rPr>
        <w:t> and </w:t>
      </w:r>
      <w:hyperlink r:id="rId7" w:tgtFrame="_blank" w:history="1">
        <w:r w:rsidRPr="00F20350">
          <w:rPr>
            <w:rFonts w:ascii="Calibri" w:eastAsia="Times New Roman" w:hAnsi="Calibri" w:cs="Segoe UI"/>
            <w:color w:val="0563C1"/>
            <w:u w:val="single"/>
            <w:lang w:val="en-GB" w:eastAsia="en-AU"/>
          </w:rPr>
          <w:t>Xero</w:t>
        </w:r>
      </w:hyperlink>
      <w:r w:rsidRPr="00F20350">
        <w:rPr>
          <w:rFonts w:ascii="Calibri" w:eastAsia="Times New Roman" w:hAnsi="Calibri" w:cs="Segoe UI"/>
          <w:lang w:val="en-GB" w:eastAsia="en-AU"/>
        </w:rPr>
        <w:t> have announced new $10 per month offerings (limited to 4 employees) with other software houses following suit.</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eastAsia="en-AU"/>
        </w:rPr>
        <w:t> </w:t>
      </w:r>
      <w:r w:rsidRPr="00F20350">
        <w:rPr>
          <w:rFonts w:ascii="Calibri" w:eastAsia="Times New Roman" w:hAnsi="Calibri" w:cs="Segoe UI"/>
          <w:lang w:eastAsia="en-AU"/>
        </w:rPr>
        <w:b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The ATO also states that to assist micro employers there will be, </w:t>
      </w:r>
      <w:r w:rsidRPr="00F20350">
        <w:rPr>
          <w:rFonts w:ascii="Calibri" w:eastAsia="Times New Roman" w:hAnsi="Calibri" w:cs="Segoe UI"/>
          <w:i/>
          <w:iCs/>
          <w:lang w:val="en-GB" w:eastAsia="en-AU"/>
        </w:rPr>
        <w:t>“a number of alternate options that are not available to employers with 20 or more employees – such as initially allowing your registered tax or BAS agent to report quarterly, rather than each time you run your payroll.”</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eastAsia="en-AU"/>
        </w:rPr>
        <w:t> </w:t>
      </w:r>
      <w:r w:rsidRPr="00F20350">
        <w:rPr>
          <w:rFonts w:ascii="Calibri" w:eastAsia="Times New Roman" w:hAnsi="Calibri" w:cs="Segoe UI"/>
          <w:lang w:eastAsia="en-AU"/>
        </w:rPr>
        <w:b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While the start date for small employers will technically start on 1 July 2019, the Commissioner of Taxation released a statement indicating that small employers can actually start reporting through single touch payroll any time from 1 July 2019 until 30 September 2019. No penalties will be applied to mistakes, missed or late reports for the first year.</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eastAsia="en-AU"/>
        </w:rPr>
        <w:t> </w:t>
      </w:r>
      <w:r w:rsidRPr="00F20350">
        <w:rPr>
          <w:rFonts w:ascii="Calibri" w:eastAsia="Times New Roman" w:hAnsi="Calibri" w:cs="Segoe UI"/>
          <w:lang w:eastAsia="en-AU"/>
        </w:rPr>
        <w:b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Plus, if your business is in an area with no viable internet connection, such as some rural and remote regions, then exemptions may apply.</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color w:val="2F5496"/>
          <w:sz w:val="18"/>
          <w:szCs w:val="18"/>
          <w:lang w:eastAsia="en-AU"/>
        </w:rPr>
      </w:pPr>
      <w:proofErr w:type="gramStart"/>
      <w:r w:rsidRPr="00F20350">
        <w:rPr>
          <w:rFonts w:ascii="Calibri" w:eastAsia="Times New Roman" w:hAnsi="Calibri" w:cs="Segoe UI"/>
          <w:color w:val="000000"/>
          <w:sz w:val="28"/>
          <w:szCs w:val="28"/>
          <w:lang w:val="en-GB" w:eastAsia="en-AU"/>
        </w:rPr>
        <w:t>Under 20 employees?</w:t>
      </w:r>
      <w:proofErr w:type="gramEnd"/>
      <w:r w:rsidRPr="00F20350">
        <w:rPr>
          <w:rFonts w:ascii="Calibri" w:eastAsia="Times New Roman" w:hAnsi="Calibri" w:cs="Segoe UI"/>
          <w:color w:val="000000"/>
          <w:sz w:val="28"/>
          <w:szCs w:val="28"/>
          <w:lang w:val="en-GB" w:eastAsia="en-AU"/>
        </w:rPr>
        <w:t xml:space="preserve"> What you need to do.</w:t>
      </w:r>
      <w:r w:rsidRPr="00F20350">
        <w:rPr>
          <w:rFonts w:ascii="Calibri" w:eastAsia="Times New Roman" w:hAnsi="Calibri" w:cs="Segoe UI"/>
          <w:color w:val="2F5496"/>
          <w:sz w:val="28"/>
          <w:szCs w:val="28"/>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1 July 2019 is not that far away. If your business does not already use STP compliant software, you may need to upgrade your systems or implement new ones. </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eastAsia="en-AU"/>
        </w:rPr>
        <w:t> </w:t>
      </w:r>
      <w:r w:rsidRPr="00F20350">
        <w:rPr>
          <w:rFonts w:ascii="Calibri" w:eastAsia="Times New Roman" w:hAnsi="Calibri" w:cs="Segoe UI"/>
          <w:lang w:eastAsia="en-AU"/>
        </w:rPr>
        <w:b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STP requires PAYG withholding and superannuation contribution details to be reported to the ATO as payments are made to employees or superannuation funds. </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eastAsia="en-AU"/>
        </w:rPr>
        <w:t> </w:t>
      </w:r>
      <w:r w:rsidRPr="00F20350">
        <w:rPr>
          <w:rFonts w:ascii="Calibri" w:eastAsia="Times New Roman" w:hAnsi="Calibri" w:cs="Segoe UI"/>
          <w:lang w:eastAsia="en-AU"/>
        </w:rPr>
        <w:b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lastRenderedPageBreak/>
        <w:t>When it comes to PAYG withholding, employers will report details of salary and wages paid to employees as well as the PAYG withholding amount at the time the payment is made to the employee. Employers have the option of paying the PAYG withholding liability at the same time, although this is not compulsory. </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eastAsia="en-AU"/>
        </w:rPr>
        <w:t> </w:t>
      </w:r>
      <w:r w:rsidRPr="00F20350">
        <w:rPr>
          <w:rFonts w:ascii="Calibri" w:eastAsia="Times New Roman" w:hAnsi="Calibri" w:cs="Segoe UI"/>
          <w:lang w:eastAsia="en-AU"/>
        </w:rPr>
        <w:b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 xml:space="preserve">What needs to be </w:t>
      </w:r>
      <w:proofErr w:type="gramStart"/>
      <w:r w:rsidRPr="00F20350">
        <w:rPr>
          <w:rFonts w:ascii="Calibri" w:eastAsia="Times New Roman" w:hAnsi="Calibri" w:cs="Segoe UI"/>
          <w:lang w:val="en-GB" w:eastAsia="en-AU"/>
        </w:rPr>
        <w:t>reported:</w:t>
      </w:r>
      <w:proofErr w:type="gramEnd"/>
      <w:r w:rsidRPr="00F20350">
        <w:rPr>
          <w:rFonts w:ascii="Calibri" w:eastAsia="Times New Roman" w:hAnsi="Calibri" w:cs="Segoe UI"/>
          <w:lang w:eastAsia="en-AU"/>
        </w:rPr>
        <w:t> </w:t>
      </w:r>
    </w:p>
    <w:p w:rsidR="00977C9A" w:rsidRPr="00F20350" w:rsidRDefault="00977C9A" w:rsidP="00977C9A">
      <w:pPr>
        <w:numPr>
          <w:ilvl w:val="0"/>
          <w:numId w:val="1"/>
        </w:numPr>
        <w:spacing w:after="0" w:line="240" w:lineRule="auto"/>
        <w:ind w:left="360" w:firstLine="0"/>
        <w:textAlignment w:val="baseline"/>
        <w:rPr>
          <w:rFonts w:ascii="Calibri" w:eastAsia="Times New Roman" w:hAnsi="Calibri" w:cs="Segoe UI"/>
          <w:lang w:eastAsia="en-AU"/>
        </w:rPr>
      </w:pPr>
      <w:r w:rsidRPr="00F20350">
        <w:rPr>
          <w:rFonts w:ascii="Calibri" w:eastAsia="Times New Roman" w:hAnsi="Calibri" w:cs="Segoe UI"/>
          <w:color w:val="151A27"/>
          <w:lang w:val="en-NZ" w:eastAsia="en-AU"/>
        </w:rPr>
        <w:t>Salary &amp; wages</w:t>
      </w:r>
      <w:r w:rsidRPr="00F20350">
        <w:rPr>
          <w:rFonts w:ascii="Calibri" w:eastAsia="Times New Roman" w:hAnsi="Calibri" w:cs="Segoe UI"/>
          <w:lang w:eastAsia="en-AU"/>
        </w:rPr>
        <w:t> </w:t>
      </w:r>
    </w:p>
    <w:p w:rsidR="00977C9A" w:rsidRPr="00F20350" w:rsidRDefault="00977C9A" w:rsidP="00977C9A">
      <w:pPr>
        <w:numPr>
          <w:ilvl w:val="0"/>
          <w:numId w:val="1"/>
        </w:numPr>
        <w:spacing w:after="0" w:line="240" w:lineRule="auto"/>
        <w:ind w:left="360" w:firstLine="0"/>
        <w:textAlignment w:val="baseline"/>
        <w:rPr>
          <w:rFonts w:ascii="Calibri" w:eastAsia="Times New Roman" w:hAnsi="Calibri" w:cs="Segoe UI"/>
          <w:lang w:eastAsia="en-AU"/>
        </w:rPr>
      </w:pPr>
      <w:r w:rsidRPr="00F20350">
        <w:rPr>
          <w:rFonts w:ascii="Calibri" w:eastAsia="Times New Roman" w:hAnsi="Calibri" w:cs="Segoe UI"/>
          <w:color w:val="151A27"/>
          <w:lang w:val="en-NZ" w:eastAsia="en-AU"/>
        </w:rPr>
        <w:t>Director remuneration</w:t>
      </w:r>
      <w:r w:rsidRPr="00F20350">
        <w:rPr>
          <w:rFonts w:ascii="Calibri" w:eastAsia="Times New Roman" w:hAnsi="Calibri" w:cs="Segoe UI"/>
          <w:lang w:eastAsia="en-AU"/>
        </w:rPr>
        <w:t> </w:t>
      </w:r>
    </w:p>
    <w:p w:rsidR="00977C9A" w:rsidRPr="00F20350" w:rsidRDefault="00977C9A" w:rsidP="00977C9A">
      <w:pPr>
        <w:numPr>
          <w:ilvl w:val="0"/>
          <w:numId w:val="1"/>
        </w:numPr>
        <w:spacing w:after="0" w:line="240" w:lineRule="auto"/>
        <w:ind w:left="360" w:firstLine="0"/>
        <w:textAlignment w:val="baseline"/>
        <w:rPr>
          <w:rFonts w:ascii="Calibri" w:eastAsia="Times New Roman" w:hAnsi="Calibri" w:cs="Segoe UI"/>
          <w:lang w:eastAsia="en-AU"/>
        </w:rPr>
      </w:pPr>
      <w:r w:rsidRPr="00F20350">
        <w:rPr>
          <w:rFonts w:ascii="Calibri" w:eastAsia="Times New Roman" w:hAnsi="Calibri" w:cs="Segoe UI"/>
          <w:color w:val="151A27"/>
          <w:lang w:val="en-NZ" w:eastAsia="en-AU"/>
        </w:rPr>
        <w:t>Return to work payments to individuals</w:t>
      </w:r>
      <w:r w:rsidRPr="00F20350">
        <w:rPr>
          <w:rFonts w:ascii="Calibri" w:eastAsia="Times New Roman" w:hAnsi="Calibri" w:cs="Segoe UI"/>
          <w:lang w:eastAsia="en-AU"/>
        </w:rPr>
        <w:t> </w:t>
      </w:r>
    </w:p>
    <w:p w:rsidR="00977C9A" w:rsidRPr="00F20350" w:rsidRDefault="00977C9A" w:rsidP="00977C9A">
      <w:pPr>
        <w:numPr>
          <w:ilvl w:val="0"/>
          <w:numId w:val="1"/>
        </w:numPr>
        <w:spacing w:after="0" w:line="240" w:lineRule="auto"/>
        <w:ind w:left="360" w:firstLine="0"/>
        <w:textAlignment w:val="baseline"/>
        <w:rPr>
          <w:rFonts w:ascii="Calibri" w:eastAsia="Times New Roman" w:hAnsi="Calibri" w:cs="Segoe UI"/>
          <w:lang w:eastAsia="en-AU"/>
        </w:rPr>
      </w:pPr>
      <w:r w:rsidRPr="00F20350">
        <w:rPr>
          <w:rFonts w:ascii="Calibri" w:eastAsia="Times New Roman" w:hAnsi="Calibri" w:cs="Segoe UI"/>
          <w:color w:val="151A27"/>
          <w:lang w:val="en-NZ" w:eastAsia="en-AU"/>
        </w:rPr>
        <w:t>Employment termination payments (ETPs) – not compulsory if the employee has died</w:t>
      </w:r>
      <w:r w:rsidRPr="00F20350">
        <w:rPr>
          <w:rFonts w:ascii="Calibri" w:eastAsia="Times New Roman" w:hAnsi="Calibri" w:cs="Segoe UI"/>
          <w:lang w:eastAsia="en-AU"/>
        </w:rPr>
        <w:t> </w:t>
      </w:r>
    </w:p>
    <w:p w:rsidR="00977C9A" w:rsidRPr="00F20350" w:rsidRDefault="00977C9A" w:rsidP="00977C9A">
      <w:pPr>
        <w:numPr>
          <w:ilvl w:val="0"/>
          <w:numId w:val="2"/>
        </w:numPr>
        <w:spacing w:after="0" w:line="240" w:lineRule="auto"/>
        <w:ind w:left="360" w:firstLine="0"/>
        <w:textAlignment w:val="baseline"/>
        <w:rPr>
          <w:rFonts w:ascii="Calibri" w:eastAsia="Times New Roman" w:hAnsi="Calibri" w:cs="Segoe UI"/>
          <w:lang w:eastAsia="en-AU"/>
        </w:rPr>
      </w:pPr>
      <w:r w:rsidRPr="00F20350">
        <w:rPr>
          <w:rFonts w:ascii="Calibri" w:eastAsia="Times New Roman" w:hAnsi="Calibri" w:cs="Segoe UI"/>
          <w:color w:val="151A27"/>
          <w:lang w:val="en-NZ" w:eastAsia="en-AU"/>
        </w:rPr>
        <w:t>Unused leave payments</w:t>
      </w:r>
      <w:r w:rsidRPr="00F20350">
        <w:rPr>
          <w:rFonts w:ascii="Calibri" w:eastAsia="Times New Roman" w:hAnsi="Calibri" w:cs="Segoe UI"/>
          <w:lang w:eastAsia="en-AU"/>
        </w:rPr>
        <w:t> </w:t>
      </w:r>
    </w:p>
    <w:p w:rsidR="00977C9A" w:rsidRPr="00F20350" w:rsidRDefault="00977C9A" w:rsidP="00977C9A">
      <w:pPr>
        <w:numPr>
          <w:ilvl w:val="0"/>
          <w:numId w:val="2"/>
        </w:numPr>
        <w:spacing w:after="0" w:line="240" w:lineRule="auto"/>
        <w:ind w:left="360" w:firstLine="0"/>
        <w:textAlignment w:val="baseline"/>
        <w:rPr>
          <w:rFonts w:ascii="Calibri" w:eastAsia="Times New Roman" w:hAnsi="Calibri" w:cs="Segoe UI"/>
          <w:lang w:eastAsia="en-AU"/>
        </w:rPr>
      </w:pPr>
      <w:r w:rsidRPr="00F20350">
        <w:rPr>
          <w:rFonts w:ascii="Calibri" w:eastAsia="Times New Roman" w:hAnsi="Calibri" w:cs="Segoe UI"/>
          <w:color w:val="151A27"/>
          <w:lang w:val="en-NZ" w:eastAsia="en-AU"/>
        </w:rPr>
        <w:t>Parental leave pay</w:t>
      </w:r>
      <w:r w:rsidRPr="00F20350">
        <w:rPr>
          <w:rFonts w:ascii="Calibri" w:eastAsia="Times New Roman" w:hAnsi="Calibri" w:cs="Segoe UI"/>
          <w:lang w:eastAsia="en-AU"/>
        </w:rPr>
        <w:t> </w:t>
      </w:r>
    </w:p>
    <w:p w:rsidR="00977C9A" w:rsidRPr="00F20350" w:rsidRDefault="00977C9A" w:rsidP="00977C9A">
      <w:pPr>
        <w:numPr>
          <w:ilvl w:val="0"/>
          <w:numId w:val="2"/>
        </w:numPr>
        <w:spacing w:after="0" w:line="240" w:lineRule="auto"/>
        <w:ind w:left="360" w:firstLine="0"/>
        <w:textAlignment w:val="baseline"/>
        <w:rPr>
          <w:rFonts w:ascii="Calibri" w:eastAsia="Times New Roman" w:hAnsi="Calibri" w:cs="Segoe UI"/>
          <w:lang w:eastAsia="en-AU"/>
        </w:rPr>
      </w:pPr>
      <w:r w:rsidRPr="00F20350">
        <w:rPr>
          <w:rFonts w:ascii="Calibri" w:eastAsia="Times New Roman" w:hAnsi="Calibri" w:cs="Segoe UI"/>
          <w:color w:val="151A27"/>
          <w:lang w:val="en-NZ" w:eastAsia="en-AU"/>
        </w:rPr>
        <w:t>Payments to office holders</w:t>
      </w:r>
      <w:r w:rsidRPr="00F20350">
        <w:rPr>
          <w:rFonts w:ascii="Calibri" w:eastAsia="Times New Roman" w:hAnsi="Calibri" w:cs="Segoe UI"/>
          <w:lang w:eastAsia="en-AU"/>
        </w:rPr>
        <w:t> </w:t>
      </w:r>
    </w:p>
    <w:p w:rsidR="00977C9A" w:rsidRPr="00F20350" w:rsidRDefault="00977C9A" w:rsidP="00977C9A">
      <w:pPr>
        <w:numPr>
          <w:ilvl w:val="0"/>
          <w:numId w:val="2"/>
        </w:numPr>
        <w:spacing w:after="0" w:line="240" w:lineRule="auto"/>
        <w:ind w:left="360" w:firstLine="0"/>
        <w:textAlignment w:val="baseline"/>
        <w:rPr>
          <w:rFonts w:ascii="Calibri" w:eastAsia="Times New Roman" w:hAnsi="Calibri" w:cs="Segoe UI"/>
          <w:lang w:eastAsia="en-AU"/>
        </w:rPr>
      </w:pPr>
      <w:r w:rsidRPr="00F20350">
        <w:rPr>
          <w:rFonts w:ascii="Calibri" w:eastAsia="Times New Roman" w:hAnsi="Calibri" w:cs="Segoe UI"/>
          <w:color w:val="151A27"/>
          <w:lang w:val="en-NZ" w:eastAsia="en-AU"/>
        </w:rPr>
        <w:t>Payments to religious practitioners</w:t>
      </w:r>
      <w:r w:rsidRPr="00F20350">
        <w:rPr>
          <w:rFonts w:ascii="Calibri" w:eastAsia="Times New Roman" w:hAnsi="Calibri" w:cs="Segoe UI"/>
          <w:lang w:eastAsia="en-AU"/>
        </w:rPr>
        <w:t> </w:t>
      </w:r>
    </w:p>
    <w:p w:rsidR="00977C9A" w:rsidRPr="00F20350" w:rsidRDefault="00977C9A" w:rsidP="00977C9A">
      <w:pPr>
        <w:numPr>
          <w:ilvl w:val="0"/>
          <w:numId w:val="2"/>
        </w:numPr>
        <w:spacing w:after="0" w:line="240" w:lineRule="auto"/>
        <w:ind w:left="360" w:firstLine="0"/>
        <w:textAlignment w:val="baseline"/>
        <w:rPr>
          <w:rFonts w:ascii="Calibri" w:eastAsia="Times New Roman" w:hAnsi="Calibri" w:cs="Segoe UI"/>
          <w:lang w:eastAsia="en-AU"/>
        </w:rPr>
      </w:pPr>
      <w:r w:rsidRPr="00F20350">
        <w:rPr>
          <w:rFonts w:ascii="Calibri" w:eastAsia="Times New Roman" w:hAnsi="Calibri" w:cs="Segoe UI"/>
          <w:color w:val="151A27"/>
          <w:lang w:val="en-NZ" w:eastAsia="en-AU"/>
        </w:rPr>
        <w:t>Superannuation contributions (at the time the payment is made to the fund)</w:t>
      </w:r>
      <w:r w:rsidRPr="00F20350">
        <w:rPr>
          <w:rFonts w:ascii="Calibri" w:eastAsia="Times New Roman" w:hAnsi="Calibri" w:cs="Segoe UI"/>
          <w:lang w:eastAsia="en-AU"/>
        </w:rPr>
        <w:t> </w:t>
      </w:r>
    </w:p>
    <w:p w:rsidR="00977C9A" w:rsidRPr="00F20350" w:rsidRDefault="00977C9A" w:rsidP="00977C9A">
      <w:pPr>
        <w:numPr>
          <w:ilvl w:val="0"/>
          <w:numId w:val="3"/>
        </w:numPr>
        <w:spacing w:after="0" w:line="240" w:lineRule="auto"/>
        <w:ind w:left="360" w:firstLine="0"/>
        <w:textAlignment w:val="baseline"/>
        <w:rPr>
          <w:rFonts w:ascii="Calibri" w:eastAsia="Times New Roman" w:hAnsi="Calibri" w:cs="Segoe UI"/>
          <w:lang w:eastAsia="en-AU"/>
        </w:rPr>
      </w:pPr>
      <w:r w:rsidRPr="00F20350">
        <w:rPr>
          <w:rFonts w:ascii="Calibri" w:eastAsia="Times New Roman" w:hAnsi="Calibri" w:cs="Segoe UI"/>
          <w:color w:val="151A27"/>
          <w:lang w:val="en-NZ" w:eastAsia="en-AU"/>
        </w:rPr>
        <w:t>Salary sacrificed amounts (from 1 July 2019).</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eastAsia="en-AU"/>
        </w:rPr>
        <w:t> </w:t>
      </w:r>
      <w:r w:rsidRPr="00F20350">
        <w:rPr>
          <w:rFonts w:ascii="Calibri" w:eastAsia="Times New Roman" w:hAnsi="Calibri" w:cs="Segoe UI"/>
          <w:lang w:eastAsia="en-AU"/>
        </w:rPr>
        <w:br/>
        <w:t> </w:t>
      </w:r>
    </w:p>
    <w:p w:rsidR="00977C9A" w:rsidRPr="00F20350" w:rsidRDefault="00977C9A" w:rsidP="00977C9A">
      <w:pPr>
        <w:spacing w:after="0" w:line="240" w:lineRule="auto"/>
        <w:textAlignment w:val="baseline"/>
        <w:rPr>
          <w:rFonts w:ascii="Segoe UI" w:eastAsia="Times New Roman" w:hAnsi="Segoe UI" w:cs="Segoe UI"/>
          <w:color w:val="1F3763"/>
          <w:sz w:val="18"/>
          <w:szCs w:val="18"/>
          <w:lang w:eastAsia="en-AU"/>
        </w:rPr>
      </w:pPr>
      <w:r w:rsidRPr="00F20350">
        <w:rPr>
          <w:rFonts w:ascii="Calibri" w:eastAsia="Times New Roman" w:hAnsi="Calibri" w:cs="Segoe UI"/>
          <w:color w:val="000000"/>
          <w:sz w:val="24"/>
          <w:szCs w:val="24"/>
          <w:lang w:val="en-GB" w:eastAsia="en-AU"/>
        </w:rPr>
        <w:t>Employers with poor super guarantee payment history outed</w:t>
      </w:r>
      <w:r w:rsidRPr="00F20350">
        <w:rPr>
          <w:rFonts w:ascii="Calibri" w:eastAsia="Times New Roman" w:hAnsi="Calibri" w:cs="Segoe UI"/>
          <w:color w:val="1F3763"/>
          <w:sz w:val="24"/>
          <w:szCs w:val="24"/>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Underpayment or non-payment of superannuation guarantee (SG) is a big issue. New laws will enable the ATO to advise employees (or former employees) of their employer’s poor SG payment and reporting history. </w:t>
      </w:r>
      <w:r w:rsidRPr="00F20350">
        <w:rPr>
          <w:rFonts w:ascii="Calibri" w:eastAsia="Times New Roman" w:hAnsi="Calibri" w:cs="Segoe UI"/>
          <w:lang w:eastAsia="en-AU"/>
        </w:rP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eastAsia="en-AU"/>
        </w:rPr>
        <w:t> </w:t>
      </w:r>
      <w:r w:rsidRPr="00F20350">
        <w:rPr>
          <w:rFonts w:ascii="Calibri" w:eastAsia="Times New Roman" w:hAnsi="Calibri" w:cs="Segoe UI"/>
          <w:lang w:eastAsia="en-AU"/>
        </w:rPr>
        <w:br/>
        <w:t> </w:t>
      </w:r>
    </w:p>
    <w:p w:rsidR="00977C9A" w:rsidRPr="00F20350" w:rsidRDefault="00977C9A" w:rsidP="00977C9A">
      <w:pPr>
        <w:spacing w:after="0" w:line="240" w:lineRule="auto"/>
        <w:textAlignment w:val="baseline"/>
        <w:rPr>
          <w:rFonts w:ascii="Segoe UI" w:eastAsia="Times New Roman" w:hAnsi="Segoe UI" w:cs="Segoe UI"/>
          <w:sz w:val="18"/>
          <w:szCs w:val="18"/>
          <w:lang w:eastAsia="en-AU"/>
        </w:rPr>
      </w:pPr>
      <w:r w:rsidRPr="00F20350">
        <w:rPr>
          <w:rFonts w:ascii="Calibri" w:eastAsia="Times New Roman" w:hAnsi="Calibri" w:cs="Segoe UI"/>
          <w:lang w:val="en-GB" w:eastAsia="en-AU"/>
        </w:rPr>
        <w:t>If an employer makes a complaint to the ATO, then a taxation officer is able to make a record or advise the employee about a failure or suspected failure by their employer or former employer to comply with their SG obligations. They can also share the Tax Commissioner’s response to the complaint. So, if the Commissioner finds there is a problem with SG payments, they can disclose this information to the complainant.</w:t>
      </w:r>
      <w:r w:rsidRPr="00F20350">
        <w:rPr>
          <w:rFonts w:ascii="Calibri" w:eastAsia="Times New Roman" w:hAnsi="Calibri" w:cs="Segoe UI"/>
          <w:lang w:eastAsia="en-AU"/>
        </w:rPr>
        <w:t> </w:t>
      </w:r>
    </w:p>
    <w:p w:rsidR="00977C9A" w:rsidRDefault="00977C9A" w:rsidP="00977C9A">
      <w:r w:rsidRPr="00F20350">
        <w:rPr>
          <w:rFonts w:ascii="Calibri" w:eastAsia="Times New Roman" w:hAnsi="Calibri" w:cs="Segoe UI"/>
          <w:lang w:eastAsia="en-AU"/>
        </w:rPr>
        <w:t> </w:t>
      </w:r>
      <w:r w:rsidRPr="00F20350">
        <w:rPr>
          <w:rFonts w:ascii="Calibri" w:eastAsia="Times New Roman" w:hAnsi="Calibri" w:cs="Segoe UI"/>
          <w:lang w:eastAsia="en-AU"/>
        </w:rPr>
        <w:br/>
      </w:r>
      <w:bookmarkStart w:id="0" w:name="_GoBack"/>
      <w:bookmarkEnd w:id="0"/>
    </w:p>
    <w:sectPr w:rsidR="00977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3525A"/>
    <w:multiLevelType w:val="multilevel"/>
    <w:tmpl w:val="30EA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6B23BC"/>
    <w:multiLevelType w:val="multilevel"/>
    <w:tmpl w:val="14AA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973536"/>
    <w:multiLevelType w:val="multilevel"/>
    <w:tmpl w:val="3B18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9A"/>
    <w:rsid w:val="003A34D3"/>
    <w:rsid w:val="00977C9A"/>
    <w:rsid w:val="00A03065"/>
    <w:rsid w:val="00CC1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xero.com/au/campaigns/single-touch-payro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ob.com/au/support/single-touch-payro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Dickman</dc:creator>
  <cp:lastModifiedBy>Kerri Dickman</cp:lastModifiedBy>
  <cp:revision>1</cp:revision>
  <dcterms:created xsi:type="dcterms:W3CDTF">2019-05-27T08:27:00Z</dcterms:created>
  <dcterms:modified xsi:type="dcterms:W3CDTF">2019-05-27T08:28:00Z</dcterms:modified>
</cp:coreProperties>
</file>